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97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97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97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</w:t>
      </w:r>
      <w:r w:rsidR="0097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973D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716EC3" w:rsidRDefault="004D11AB" w:rsidP="004D11AB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73D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1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также порядком разработки прогноза социально-экономического развития </w:t>
      </w:r>
      <w:proofErr w:type="spellStart"/>
      <w:r w:rsidR="00716E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proofErr w:type="spellEnd"/>
      <w:r w:rsidR="00716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16E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716E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Территория Мохоновского сельского поселения входит в состав территории Стародубского муниципального района. Площадь земель муниципального образования составляет 15710 га из которых 10608,81 га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ашни. Площадь земель под населенными пунктами сельского поселения составляет 737 га,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которой находится 20 населенных пунктов.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Жилой фонд муниципального образования на 01.01.2016г составляет 92,8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общей площади, в том числе: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муниципальный жилищный фонд – 0,5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частный жилой фонд – 92,3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Оборудование жилого фонда благоустройством составляет: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водопровод </w:t>
      </w:r>
      <w:r w:rsidR="00CD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15,7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канализация – 1,4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газ</w:t>
      </w:r>
      <w:r w:rsidR="00CD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85,7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 w:rsidR="00CD76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D764A" w:rsidRDefault="00CD764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горячее водоснабжение – 13,7 тыс.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D11AB" w:rsidRDefault="00CD764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территории сельского поселения располагается 1 котельная, протяженность тепловых сетей составляет 755 м.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прогноза социально-экономического развития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до 201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использовались данные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сельхозпредприятий: к-з «Память Ленина», к-з «Карла-Маркса»,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Малойчина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«Алексеенко»,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Басыня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«Богачев»,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Хараблев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«Сагалова»,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Вдовенкова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«Сагалова»,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Гапеенко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Чепило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КФК «Ковалевская», ООО «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Аском</w:t>
      </w:r>
      <w:proofErr w:type="spellEnd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находящееся на территории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основной капитал нет. </w:t>
      </w:r>
    </w:p>
    <w:p w:rsidR="00453208" w:rsidRPr="004D11AB" w:rsidRDefault="00453208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всех форм собственности муниципального образования в животноводстве специализируются на производстве мяса крупного рогатого скота, свиней, молока, зерна, картофеля и овощей.</w:t>
      </w:r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продукции животноводства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период, ожидается на уровне оценки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1381" w:rsidRDefault="004D11AB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расположены следующие социально-культурные объекты: </w:t>
      </w:r>
    </w:p>
    <w:p w:rsidR="004D11AB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-5 учреждений образования, в том числе: школы - 3, детские сады – 2;</w:t>
      </w:r>
    </w:p>
    <w:p w:rsidR="00B51381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 учреждений культуры, в том числе: дома культуры– 8, библиотеки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5A7" w:rsidRPr="004D11AB" w:rsidRDefault="009735A7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- 6 учреждений фельдшерско-акушерской помощи -6.</w:t>
      </w:r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2791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55E61" w:rsidRDefault="00055E61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97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5F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5F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5F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AB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Прогноз основных характеристик (общий объем доходов, общий объем расходов, дефицита (профицита) бюджета) бюджета Мохоновского сельского поселения;</w:t>
      </w:r>
    </w:p>
    <w:p w:rsidR="004D11AB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итоги социально-экономического развития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1AB" w:rsidRPr="004D11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социально-экономического развития соответствующей территории за теку</w:t>
      </w:r>
      <w:r w:rsidR="004D11AB" w:rsidRPr="004D11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год;</w:t>
      </w:r>
    </w:p>
    <w:p w:rsid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 w:rsidR="00BB1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Мохоновского сельского поселения </w:t>
      </w:r>
    </w:p>
    <w:p w:rsidR="00D44290" w:rsidRPr="004D11AB" w:rsidRDefault="00E0729A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муниципального внутреннего долга Мохоновского сельского поселения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- 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5F5788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</w:t>
      </w:r>
      <w:r w:rsidR="005F578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5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7914,0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2501,7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2574,3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65D14" w:rsidRPr="004D11AB" w:rsidRDefault="00C65D14" w:rsidP="00C65D14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Стародубского 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5D8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5D8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5D8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Мохоновского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65143E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651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Мохоновского сельского поселения, а также порядке представления, рассмотрения и утверждения отчетности об исполнении бюджета Мохоновского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утвержденное решением Мохоновского сельского Совета народных депутатов от 23.05.2015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№46 (в редакции от 07.11.2016г №123)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43E" w:rsidRDefault="0065143E" w:rsidP="006514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Контрольно-счетная палата Стародубского муниципального района рекомендует внести следующие изменения в текстовую часть проекта решения:</w:t>
      </w:r>
    </w:p>
    <w:p w:rsidR="0065143E" w:rsidRPr="00B11CFA" w:rsidRDefault="0065143E" w:rsidP="0065143E">
      <w:pPr>
        <w:pStyle w:val="af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Мохоновскому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</w:t>
      </w:r>
      <w:r w:rsidRPr="0065143E">
        <w:rPr>
          <w:b/>
          <w:color w:val="000000"/>
          <w:sz w:val="28"/>
          <w:szCs w:val="28"/>
        </w:rPr>
        <w:t>на 2018 год 8014,0 тыс. рублей</w:t>
      </w:r>
      <w:r>
        <w:rPr>
          <w:color w:val="000000"/>
          <w:sz w:val="28"/>
          <w:szCs w:val="28"/>
        </w:rPr>
        <w:t xml:space="preserve"> (вместо 7914,0 тыс. рублей)</w:t>
      </w:r>
      <w:r w:rsidRPr="00B11CFA">
        <w:rPr>
          <w:color w:val="000000"/>
          <w:sz w:val="28"/>
          <w:szCs w:val="28"/>
        </w:rPr>
        <w:t xml:space="preserve">, </w:t>
      </w:r>
      <w:r w:rsidRPr="0065143E">
        <w:rPr>
          <w:b/>
          <w:color w:val="000000"/>
          <w:sz w:val="28"/>
          <w:szCs w:val="28"/>
        </w:rPr>
        <w:t xml:space="preserve">на 2019 год </w:t>
      </w:r>
      <w:r w:rsidR="00FA3E20">
        <w:rPr>
          <w:b/>
          <w:color w:val="000000"/>
          <w:sz w:val="28"/>
          <w:szCs w:val="28"/>
        </w:rPr>
        <w:t>2601,7</w:t>
      </w:r>
      <w:r w:rsidRPr="0065143E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1664,1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</w:t>
      </w:r>
      <w:r w:rsidRPr="00FA3E20">
        <w:rPr>
          <w:b/>
          <w:color w:val="000000"/>
          <w:sz w:val="28"/>
          <w:szCs w:val="28"/>
        </w:rPr>
        <w:t xml:space="preserve">на 2020 год </w:t>
      </w:r>
      <w:r w:rsidR="00FA3E20">
        <w:rPr>
          <w:b/>
          <w:color w:val="000000"/>
          <w:sz w:val="28"/>
          <w:szCs w:val="28"/>
        </w:rPr>
        <w:t>2674,3</w:t>
      </w:r>
      <w:r w:rsidRPr="00FA3E20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</w:t>
      </w:r>
      <w:r w:rsidR="00FA3E20">
        <w:rPr>
          <w:color w:val="000000"/>
          <w:sz w:val="28"/>
          <w:szCs w:val="28"/>
        </w:rPr>
        <w:t>2574,3</w:t>
      </w:r>
      <w:r>
        <w:rPr>
          <w:color w:val="000000"/>
          <w:sz w:val="28"/>
          <w:szCs w:val="28"/>
        </w:rPr>
        <w:t xml:space="preserve">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 100,0 тыс. рублей ежегодно.</w:t>
      </w:r>
    </w:p>
    <w:p w:rsidR="0065143E" w:rsidRPr="00351F2E" w:rsidRDefault="0065143E" w:rsidP="0065143E">
      <w:pPr>
        <w:pStyle w:val="af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М</w:t>
      </w:r>
      <w:r w:rsidR="00054CD2">
        <w:rPr>
          <w:color w:val="000000"/>
          <w:sz w:val="28"/>
          <w:szCs w:val="28"/>
        </w:rPr>
        <w:t>охоновского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М</w:t>
      </w:r>
      <w:r w:rsidR="00054CD2">
        <w:rPr>
          <w:color w:val="000000"/>
          <w:sz w:val="28"/>
          <w:szCs w:val="28"/>
        </w:rPr>
        <w:t>охоновский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</w:t>
      </w:r>
      <w:r w:rsidRPr="00054CD2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М</w:t>
      </w:r>
      <w:r w:rsidR="00054CD2">
        <w:rPr>
          <w:color w:val="000000"/>
          <w:sz w:val="28"/>
          <w:szCs w:val="28"/>
        </w:rPr>
        <w:t>охоновского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9C1BBD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Мохоновского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054C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54C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054CD2" w:rsidRDefault="00054CD2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proofErr w:type="spellStart"/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Мохоновского</w:t>
      </w:r>
      <w:proofErr w:type="spellEnd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05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05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05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№1, тыс. рублей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92"/>
        <w:gridCol w:w="993"/>
        <w:gridCol w:w="850"/>
        <w:gridCol w:w="851"/>
        <w:gridCol w:w="763"/>
        <w:gridCol w:w="821"/>
        <w:gridCol w:w="711"/>
        <w:gridCol w:w="821"/>
        <w:gridCol w:w="711"/>
      </w:tblGrid>
      <w:tr w:rsidR="004D11AB" w:rsidRPr="004D11AB" w:rsidTr="001033E8">
        <w:trPr>
          <w:trHeight w:val="25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2763F8">
        <w:trPr>
          <w:trHeight w:val="102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4CD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054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2763F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F22A1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2763F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6178,8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4D11AB" w:rsidRPr="004D11AB" w:rsidTr="002763F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F22A1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2763F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4D11AB" w:rsidRPr="004D11AB" w:rsidTr="002763F8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F22A1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,2р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2763F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D11AB" w:rsidRPr="004D11AB" w:rsidTr="002763F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F22A1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5069,0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,2р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-56,8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63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4D11AB" w:rsidRPr="004D11AB" w:rsidTr="002763F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D464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201</w:t>
      </w:r>
      <w:r w:rsidR="0027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6178,8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2,9 раз.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1557,5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134,9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134,9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7914,0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6044,0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4,2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276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4093,6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201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1591,9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2501,7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3F71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4196,9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102,5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1622,6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101,9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2574,3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102,9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329DE" w:rsidRDefault="004329DE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3F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3F7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F7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F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F7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F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F7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F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F7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F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F7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F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3F7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9471,5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1557,5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7914,0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725D3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F719B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17BF0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61,3</w:t>
            </w:r>
          </w:p>
        </w:tc>
      </w:tr>
    </w:tbl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517B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517BF0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517B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517B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517B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удельного веса налоговых и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неналоговых доходов бюджета в 201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58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повысятся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7EE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5867EE">
        <w:rPr>
          <w:rFonts w:ascii="Times New Roman" w:eastAsia="Times New Roman" w:hAnsi="Times New Roman" w:cs="Times New Roman"/>
          <w:sz w:val="28"/>
          <w:szCs w:val="28"/>
          <w:lang w:eastAsia="ru-RU"/>
        </w:rPr>
        <w:t>37,7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397F8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4D11AB" w:rsidRPr="004D11AB" w:rsidRDefault="004D11AB" w:rsidP="005867E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586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586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867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Первонач.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7EE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86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7E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114,1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7E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88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  <w:r w:rsidR="00880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114,1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121,3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121,3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2D3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-19,5</w:t>
            </w:r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00C8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ПОШЛИНА, СБОРЫ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D321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D11D7" w:rsidRPr="004D11AB" w:rsidTr="007D11D7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МУНИЦИ-ПАЛЬНОЙ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66385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110,7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показателей фонда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153,0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00C8">
        <w:rPr>
          <w:rFonts w:ascii="Times New Roman" w:eastAsia="Times New Roman" w:hAnsi="Times New Roman" w:cs="Times New Roman"/>
          <w:sz w:val="28"/>
          <w:szCs w:val="28"/>
          <w:lang w:eastAsia="ru-RU"/>
        </w:rPr>
        <w:t>160,0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121,3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295,9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уровня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295,0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58,0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62,0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1055,6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145,4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1079,0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1102,7 тыс. рублей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67,8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поступлению </w:t>
      </w:r>
      <w:r w:rsidRPr="004D11A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государственной пошлины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рогнозируется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что соответствует уровню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государственная пошлина планируется в таком же объеме 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15D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 w:rsidRPr="004B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B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E15D70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E15D70">
        <w:rPr>
          <w:rFonts w:ascii="Times New Roman" w:hAnsi="Times New Roman" w:cs="Times New Roman"/>
          <w:sz w:val="28"/>
          <w:szCs w:val="28"/>
        </w:rPr>
        <w:t>83,6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E15D70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15D70">
        <w:rPr>
          <w:rFonts w:ascii="Times New Roman" w:hAnsi="Times New Roman" w:cs="Times New Roman"/>
          <w:sz w:val="28"/>
          <w:szCs w:val="28"/>
        </w:rPr>
        <w:t>61,1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E15D70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E15D70">
        <w:rPr>
          <w:rFonts w:ascii="Times New Roman" w:hAnsi="Times New Roman" w:cs="Times New Roman"/>
          <w:sz w:val="28"/>
          <w:szCs w:val="28"/>
        </w:rPr>
        <w:t>61,3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E15D7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15D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75"/>
        <w:gridCol w:w="753"/>
        <w:gridCol w:w="875"/>
        <w:gridCol w:w="740"/>
        <w:gridCol w:w="875"/>
        <w:gridCol w:w="849"/>
        <w:gridCol w:w="563"/>
        <w:gridCol w:w="851"/>
        <w:gridCol w:w="553"/>
        <w:gridCol w:w="30"/>
      </w:tblGrid>
      <w:tr w:rsidR="004D11AB" w:rsidRPr="004D11AB" w:rsidTr="00963203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15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15D70" w:rsidP="00E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15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E15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1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E15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2854,9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C71B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C71B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1870,0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2501,7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2574,3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C71B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705,0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722,0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C71B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15D7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C71B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1016,9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C71BB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занимают 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7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 –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63,9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данные запланированы в сумм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754,0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, 740,0 тыс. рублей и 722,0 тыс. рублей соответственно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запланированы на трехлетний период в 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4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: 2018г – 160,0 тыс. рублей, 2019 год – 161,7 тыс. рублей и 167,3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055E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отсутствие информации в пояснительной записке, обосновывающей увеличение объема безвозмездных поступлений по сравнению с уровнем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отсутствует анализ в разрезе получаемых дотаций</w:t>
      </w:r>
      <w:r w:rsidR="00DA7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2C56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0E9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4093,6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E9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 w:rsidR="00C5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862C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2,2 раза.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BE4F2C"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62CB2"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BE4F2C"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BE4F2C"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 w:rsidR="00155B6F"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862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862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62C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201</w:t>
            </w:r>
            <w:r w:rsidR="00862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62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62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2CB2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62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2CB2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62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BE4F2C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BE4F2C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1767,4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BC4C4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1747,2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989,9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</w:tr>
      <w:tr w:rsidR="004D11AB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4D11AB" w:rsidRPr="004D11AB" w:rsidTr="00BE4F2C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911B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BC4C4B">
            <w:pPr>
              <w:spacing w:after="0" w:line="240" w:lineRule="auto"/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AD1B6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11AB" w:rsidRPr="004D11AB" w:rsidTr="00BE4F2C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</w:tr>
      <w:tr w:rsidR="004D11AB" w:rsidRPr="004D11AB" w:rsidTr="00BE4F2C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4D11AB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B562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E616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11AB" w:rsidRPr="004D11AB" w:rsidTr="00BE4F2C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4093,6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C4C4B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8B5621" w:rsidRDefault="008B5621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8-2020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0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объем которых составляет – 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7028,8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8B5621">
        <w:rPr>
          <w:rFonts w:ascii="Times New Roman" w:eastAsia="Times New Roman" w:hAnsi="Times New Roman" w:cs="Times New Roman"/>
          <w:sz w:val="28"/>
          <w:szCs w:val="28"/>
          <w:lang w:eastAsia="ru-RU"/>
        </w:rPr>
        <w:t>, 39,8% (1628,8 тыс. рублей) и 40,8% (1713,8 тыс. рублей).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4F65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4F65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4F651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F65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989,9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F65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1026,8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F65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1055,8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623"/>
        <w:gridCol w:w="737"/>
        <w:gridCol w:w="1198"/>
        <w:gridCol w:w="1198"/>
        <w:gridCol w:w="960"/>
        <w:gridCol w:w="1746"/>
        <w:gridCol w:w="16"/>
      </w:tblGrid>
      <w:tr w:rsidR="004D11AB" w:rsidRPr="004D11AB" w:rsidTr="004D11AB">
        <w:trPr>
          <w:trHeight w:val="276"/>
        </w:trPr>
        <w:tc>
          <w:tcPr>
            <w:tcW w:w="4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5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15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5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15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55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155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C9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C94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/201</w:t>
            </w:r>
            <w:r w:rsidR="00C94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55B6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989,9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1026,8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1055,8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6,7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442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55B6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353,5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55B6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644,1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658,4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94201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E234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817CC3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общем объеме расходов бюджета расходы раздела 01 «Общегосударственные вопросы» в 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составят 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94201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16,1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340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2018-2020 годах не запланированы.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7028,8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1628,8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1713,8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500,1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6528,7 тыс. рублей, или в 14,1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расходов по разделу национальная экономика в структуре бюджета в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384,7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368,3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352,0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C52418" w:rsidRDefault="004D11AB" w:rsidP="003409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динамики расходов проекта бюджета по данному разделу характеризует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615,3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</w:t>
      </w:r>
      <w:r w:rsidR="003409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W w:w="9905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623"/>
        <w:gridCol w:w="737"/>
        <w:gridCol w:w="1198"/>
        <w:gridCol w:w="1198"/>
        <w:gridCol w:w="1473"/>
        <w:gridCol w:w="1746"/>
        <w:gridCol w:w="16"/>
      </w:tblGrid>
      <w:tr w:rsidR="004D11AB" w:rsidRPr="004D11AB" w:rsidTr="00437BE8">
        <w:trPr>
          <w:trHeight w:val="276"/>
        </w:trPr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409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3409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3409B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    год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3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437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/201</w:t>
            </w:r>
            <w:r w:rsidR="00437B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37BE8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37BE8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37BE8">
        <w:trPr>
          <w:trHeight w:val="345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384,7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368,3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352,0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-8,5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37BE8">
        <w:trPr>
          <w:trHeight w:val="30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37BE8">
        <w:trPr>
          <w:trHeight w:val="300"/>
        </w:trPr>
        <w:tc>
          <w:tcPr>
            <w:tcW w:w="2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336,3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37B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-9,3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298" w:rsidRDefault="0084629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815,8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815,8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815,8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115,0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437BE8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отсутствие информации в пояснительной записке, обосновывающей снижение объема расходов в 201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437BE8" w:rsidRPr="004D11AB" w:rsidRDefault="00437BE8" w:rsidP="00437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37BE8" w:rsidRPr="004D11AB" w:rsidRDefault="00437BE8" w:rsidP="00437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7BE8" w:rsidRPr="004D11AB" w:rsidRDefault="00437BE8" w:rsidP="00437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7BE8" w:rsidRPr="004D11AB" w:rsidRDefault="00437BE8" w:rsidP="00437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37BE8" w:rsidRDefault="00437BE8" w:rsidP="00437B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повысятся на 20,5 тыс. рублей или на 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28,6%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37BE8" w:rsidRPr="004D11AB" w:rsidRDefault="00437BE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представленным данным, бюджетные ассигнования в 201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3A743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3A743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 w:cs="Times New Roman"/>
          <w:bCs/>
          <w:sz w:val="28"/>
          <w:szCs w:val="28"/>
        </w:rPr>
        <w:t>Мохоновского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3A743D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3A743D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6A2018">
        <w:rPr>
          <w:rFonts w:ascii="Times New Roman" w:hAnsi="Times New Roman" w:cs="Times New Roman"/>
          <w:sz w:val="28"/>
          <w:szCs w:val="28"/>
        </w:rPr>
        <w:t>Мохоновского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43D" w:rsidRDefault="003A743D" w:rsidP="003A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охоновского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3A743D" w:rsidRPr="00A87ADB" w:rsidRDefault="003A743D" w:rsidP="003A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3D" w:rsidRPr="00A87ADB" w:rsidRDefault="003A743D" w:rsidP="003A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охоновском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43D" w:rsidRPr="005A3732" w:rsidRDefault="003A743D" w:rsidP="003A74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охоновского</w:t>
      </w:r>
      <w:proofErr w:type="spellEnd"/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(пункт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A743D" w:rsidRDefault="003A743D" w:rsidP="003A74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вышеуказанных условий перечень </w:t>
      </w: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к проверке предоставлен только проект постановления.</w:t>
      </w:r>
    </w:p>
    <w:p w:rsidR="003A743D" w:rsidRPr="003A743D" w:rsidRDefault="003A743D" w:rsidP="003A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3D">
        <w:rPr>
          <w:rFonts w:ascii="Times New Roman" w:hAnsi="Times New Roman"/>
          <w:b/>
          <w:sz w:val="28"/>
          <w:szCs w:val="28"/>
        </w:rPr>
        <w:t xml:space="preserve">В нарушение п.18 Порядка, одновременно с проектом муниципальной программы не представлен </w:t>
      </w:r>
      <w:r w:rsidRPr="003A743D">
        <w:rPr>
          <w:rFonts w:ascii="Times New Roman" w:hAnsi="Times New Roman"/>
          <w:b/>
          <w:sz w:val="28"/>
          <w:szCs w:val="28"/>
        </w:rPr>
        <w:t xml:space="preserve">проект постановления администрации </w:t>
      </w:r>
      <w:proofErr w:type="spellStart"/>
      <w:r w:rsidRPr="003A743D">
        <w:rPr>
          <w:rFonts w:ascii="Times New Roman" w:hAnsi="Times New Roman"/>
          <w:b/>
          <w:sz w:val="28"/>
          <w:szCs w:val="28"/>
        </w:rPr>
        <w:t>Мохоновского</w:t>
      </w:r>
      <w:proofErr w:type="spellEnd"/>
      <w:r w:rsidRPr="003A743D">
        <w:rPr>
          <w:rFonts w:ascii="Times New Roman" w:hAnsi="Times New Roman"/>
          <w:b/>
          <w:sz w:val="28"/>
          <w:szCs w:val="28"/>
        </w:rPr>
        <w:t xml:space="preserve"> сельского посел</w:t>
      </w:r>
      <w:r w:rsidRPr="003A743D">
        <w:rPr>
          <w:rFonts w:ascii="Times New Roman" w:hAnsi="Times New Roman"/>
          <w:b/>
          <w:sz w:val="28"/>
          <w:szCs w:val="28"/>
        </w:rPr>
        <w:t>е</w:t>
      </w:r>
      <w:r w:rsidRPr="003A743D">
        <w:rPr>
          <w:rFonts w:ascii="Times New Roman" w:hAnsi="Times New Roman"/>
          <w:b/>
          <w:sz w:val="28"/>
          <w:szCs w:val="28"/>
        </w:rPr>
        <w:t>ния об утверждении муниципальной программы</w:t>
      </w:r>
      <w:r w:rsidRPr="003A743D">
        <w:rPr>
          <w:rFonts w:ascii="Times New Roman" w:hAnsi="Times New Roman"/>
          <w:b/>
          <w:sz w:val="28"/>
          <w:szCs w:val="28"/>
        </w:rPr>
        <w:t>.</w:t>
      </w:r>
    </w:p>
    <w:p w:rsidR="003A743D" w:rsidRPr="00A87ADB" w:rsidRDefault="003A743D" w:rsidP="003A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годы).</w:t>
      </w:r>
    </w:p>
    <w:p w:rsidR="003A743D" w:rsidRDefault="003A743D" w:rsidP="003A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9461,5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4083,6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4186,9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3D" w:rsidRDefault="003A743D" w:rsidP="003A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Непрограммную часть проекта бюджета в 2018-2020 годы составляет резервный фонд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рублей).</w:t>
      </w:r>
    </w:p>
    <w:p w:rsidR="003A743D" w:rsidRDefault="003A743D" w:rsidP="003A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что в соответствии с письмом Министерства Финансов РФ от 30 сентября 2014г №09-05-05/48843, пунктом 18 Методических рекомендаций по составлению и исполнению бюджетов субъектов РФ и местных бюджетов на основе государственных (муниципальных) программ (далее – Методические рекомендации), указано, </w:t>
      </w:r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</w:t>
      </w:r>
      <w:proofErr w:type="gramEnd"/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государственных (муниципальных) программ не отражаются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</w:p>
    <w:p w:rsidR="003A743D" w:rsidRPr="004E6668" w:rsidRDefault="003A743D" w:rsidP="003A743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расходы на содержание главы сельского поселения (в 2018г – </w:t>
      </w:r>
      <w:r w:rsidR="003B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353,5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2019г – </w:t>
      </w:r>
      <w:r w:rsidR="003B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367,7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2020 году </w:t>
      </w:r>
      <w:r w:rsidR="003B6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382,4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9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65н.</w:t>
      </w:r>
    </w:p>
    <w:p w:rsidR="003A743D" w:rsidRPr="00A87ADB" w:rsidRDefault="003A743D" w:rsidP="003A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3D" w:rsidRPr="004E6668" w:rsidRDefault="003A743D" w:rsidP="003A743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Также паспортом определены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3A743D" w:rsidRPr="004E6668" w:rsidRDefault="003A743D" w:rsidP="003A74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3A743D" w:rsidRPr="004E6668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17762,0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3A743D" w:rsidRPr="004E6668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3A743D" w:rsidRPr="004E6668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4093,6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3A743D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3B6859">
        <w:rPr>
          <w:rFonts w:ascii="Times New Roman" w:eastAsia="Times New Roman" w:hAnsi="Times New Roman" w:cs="Times New Roman"/>
          <w:sz w:val="28"/>
          <w:szCs w:val="28"/>
          <w:lang w:eastAsia="ru-RU"/>
        </w:rPr>
        <w:t>4196,9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A743D" w:rsidRPr="00C10608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 </w:t>
      </w:r>
      <w:proofErr w:type="spellStart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«д» п.10 Порядка, в паспорте муниципальной программы</w:t>
      </w:r>
      <w:r w:rsid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ресурсное обеспечение  определено без расшифровки по </w:t>
      </w: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источникам финансирования.</w:t>
      </w:r>
      <w:r w:rsid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Разделом </w:t>
      </w:r>
      <w:r w:rsidR="00C10608"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«Ресурсное обеспечение реализации муниципальной программы. Объемы и источники финансирования муниципальной программы» </w:t>
      </w:r>
      <w:r w:rsidR="00C10608"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также не определены источники финансирования.</w:t>
      </w:r>
    </w:p>
    <w:p w:rsidR="00C10608" w:rsidRPr="004E6668" w:rsidRDefault="00C10608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отмечает, что в паспорте муниципальной программы общий объем бюджетных ассигнований (в том числе по годам) определен выше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предусмотрено в проекте бюджета  </w:t>
      </w:r>
      <w:r w:rsidRPr="00C106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 30,0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A743D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C1060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608" w:rsidRPr="004329DE" w:rsidRDefault="004329DE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нарушение пп.4 п.10, п.12 Порядка</w:t>
      </w:r>
      <w:r w:rsidRPr="004329DE">
        <w:rPr>
          <w:rFonts w:ascii="Times New Roman" w:hAnsi="Times New Roman"/>
          <w:b/>
          <w:sz w:val="28"/>
          <w:szCs w:val="28"/>
          <w:u w:val="single"/>
        </w:rPr>
        <w:t xml:space="preserve"> муниципальная программа не содержит ни одного </w:t>
      </w:r>
      <w:r w:rsidRPr="004329DE">
        <w:rPr>
          <w:rFonts w:ascii="Times New Roman" w:hAnsi="Times New Roman"/>
          <w:b/>
          <w:sz w:val="28"/>
          <w:szCs w:val="28"/>
          <w:u w:val="single"/>
        </w:rPr>
        <w:t xml:space="preserve">сведения о показателях (индикаторах) муниципальной </w:t>
      </w:r>
      <w:r w:rsidRPr="004329DE">
        <w:rPr>
          <w:rFonts w:ascii="Times New Roman" w:hAnsi="Times New Roman"/>
          <w:b/>
          <w:sz w:val="28"/>
          <w:szCs w:val="28"/>
          <w:u w:val="single"/>
        </w:rPr>
        <w:t xml:space="preserve">программы </w:t>
      </w:r>
      <w:r w:rsidRPr="004329DE">
        <w:rPr>
          <w:rFonts w:ascii="Times New Roman" w:hAnsi="Times New Roman"/>
          <w:b/>
          <w:sz w:val="28"/>
          <w:szCs w:val="28"/>
          <w:u w:val="single"/>
        </w:rPr>
        <w:t>и их значениях</w:t>
      </w:r>
    </w:p>
    <w:p w:rsidR="003A743D" w:rsidRPr="004E6668" w:rsidRDefault="004329DE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дать оценку проекту муниципальной программы не предоставляется возможным, как и д</w:t>
      </w:r>
      <w:r w:rsidR="003A743D"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остижение </w:t>
      </w:r>
      <w:proofErr w:type="gramStart"/>
      <w:r w:rsidR="003A743D"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целей</w:t>
      </w:r>
      <w:proofErr w:type="gramEnd"/>
      <w:r w:rsidR="003A743D"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решение задач муниципальной программы</w:t>
      </w:r>
      <w:r w:rsidR="003A743D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3D" w:rsidRPr="004D11AB" w:rsidRDefault="00C10608" w:rsidP="003A74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A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A743D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 w:rsidR="003A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3A743D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3A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A743D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 w:rsidR="003A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3A743D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="003A743D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3A743D" w:rsidRPr="004D11AB" w:rsidRDefault="003A743D" w:rsidP="003A74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3A743D" w:rsidRPr="004D11AB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3D" w:rsidRDefault="003A743D" w:rsidP="003A743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</w:p>
    <w:p w:rsidR="004329DE" w:rsidRDefault="003A743D" w:rsidP="00432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 в текстовую часть проекта решения:</w:t>
      </w:r>
    </w:p>
    <w:p w:rsidR="004329DE" w:rsidRPr="00B11CFA" w:rsidRDefault="004329DE" w:rsidP="004329DE">
      <w:pPr>
        <w:pStyle w:val="af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Мохоновскому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</w:t>
      </w:r>
      <w:r w:rsidRPr="0065143E">
        <w:rPr>
          <w:b/>
          <w:color w:val="000000"/>
          <w:sz w:val="28"/>
          <w:szCs w:val="28"/>
        </w:rPr>
        <w:t>на 2018 год 8014,0 тыс. рублей</w:t>
      </w:r>
      <w:r>
        <w:rPr>
          <w:color w:val="000000"/>
          <w:sz w:val="28"/>
          <w:szCs w:val="28"/>
        </w:rPr>
        <w:t xml:space="preserve"> (вместо 7914,0 тыс. рублей)</w:t>
      </w:r>
      <w:r w:rsidRPr="00B11CFA">
        <w:rPr>
          <w:color w:val="000000"/>
          <w:sz w:val="28"/>
          <w:szCs w:val="28"/>
        </w:rPr>
        <w:t xml:space="preserve">, </w:t>
      </w:r>
      <w:r w:rsidRPr="0065143E">
        <w:rPr>
          <w:b/>
          <w:color w:val="000000"/>
          <w:sz w:val="28"/>
          <w:szCs w:val="28"/>
        </w:rPr>
        <w:t xml:space="preserve">на 2019 год </w:t>
      </w:r>
      <w:r>
        <w:rPr>
          <w:b/>
          <w:color w:val="000000"/>
          <w:sz w:val="28"/>
          <w:szCs w:val="28"/>
        </w:rPr>
        <w:t>2601,7</w:t>
      </w:r>
      <w:r w:rsidRPr="0065143E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1664,1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</w:t>
      </w:r>
      <w:r w:rsidRPr="00FA3E20">
        <w:rPr>
          <w:b/>
          <w:color w:val="000000"/>
          <w:sz w:val="28"/>
          <w:szCs w:val="28"/>
        </w:rPr>
        <w:t xml:space="preserve">на 2020 год </w:t>
      </w:r>
      <w:r>
        <w:rPr>
          <w:b/>
          <w:color w:val="000000"/>
          <w:sz w:val="28"/>
          <w:szCs w:val="28"/>
        </w:rPr>
        <w:t>2674,3</w:t>
      </w:r>
      <w:r w:rsidRPr="00FA3E20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2574,3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 100,0 тыс. рублей ежегодно.</w:t>
      </w:r>
    </w:p>
    <w:p w:rsidR="004329DE" w:rsidRPr="00351F2E" w:rsidRDefault="004329DE" w:rsidP="004329DE">
      <w:pPr>
        <w:pStyle w:val="af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Мохоновского</w:t>
      </w:r>
      <w:proofErr w:type="spellEnd"/>
      <w:r w:rsidRPr="00E80CB1">
        <w:rPr>
          <w:color w:val="000000"/>
          <w:sz w:val="28"/>
          <w:szCs w:val="28"/>
        </w:rPr>
        <w:t xml:space="preserve"> </w:t>
      </w:r>
      <w:r w:rsidRPr="00E80CB1">
        <w:rPr>
          <w:color w:val="000000"/>
          <w:sz w:val="28"/>
          <w:szCs w:val="28"/>
        </w:rPr>
        <w:lastRenderedPageBreak/>
        <w:t xml:space="preserve">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Мохоновский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</w:t>
      </w:r>
      <w:r w:rsidRPr="00054CD2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Мохоновского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4329DE" w:rsidRPr="004D11AB" w:rsidRDefault="003A743D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329DE" w:rsidRPr="0043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6178,8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432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2,9 раз.</w:t>
      </w:r>
      <w:r w:rsidR="004329DE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329DE" w:rsidRPr="004D11AB" w:rsidRDefault="004329DE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1557,5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7914,0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4,2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  </w:t>
      </w:r>
    </w:p>
    <w:p w:rsidR="004329DE" w:rsidRPr="004D11AB" w:rsidRDefault="004329DE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43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3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снижением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329DE" w:rsidRPr="004D11AB" w:rsidRDefault="004329DE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1591,9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года. Дефицит бюджета не предусмотрен.</w:t>
      </w:r>
    </w:p>
    <w:p w:rsidR="004329DE" w:rsidRDefault="004329DE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43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32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4196,9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102,5%.</w:t>
      </w:r>
    </w:p>
    <w:p w:rsidR="004329DE" w:rsidRPr="004D11AB" w:rsidRDefault="004329DE" w:rsidP="004329D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2574,3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3A743D" w:rsidRPr="004D11AB" w:rsidRDefault="004329DE" w:rsidP="00432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A743D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A743D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бюджета в трехлетней перспективе по-прежнему будет составлять </w:t>
      </w:r>
      <w:r w:rsidR="003A74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="003A743D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E61" w:rsidRPr="004D11AB" w:rsidRDefault="003A743D" w:rsidP="00055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61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proofErr w:type="spellEnd"/>
      <w:r w:rsidR="00055E61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5E61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="00055E61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055E61" w:rsidRPr="004D11AB" w:rsidRDefault="00055E61" w:rsidP="00055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9471,5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5E61" w:rsidRDefault="00055E61" w:rsidP="00055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4093,6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E61" w:rsidRDefault="00055E61" w:rsidP="00055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4196,9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E61" w:rsidRPr="004D11AB" w:rsidRDefault="00055E61" w:rsidP="00055E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2,2 раза.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E61" w:rsidRDefault="00055E61" w:rsidP="00055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Приоритетным направлением расходов бюджета </w:t>
      </w:r>
      <w:proofErr w:type="spellStart"/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Мохоновского</w:t>
      </w:r>
      <w:proofErr w:type="spellEnd"/>
      <w:r w:rsidRPr="0015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2018 год и на плановый период 2018 и 2019 годов являются 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3D" w:rsidRDefault="003A743D" w:rsidP="00055E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43D" w:rsidRDefault="003A743D" w:rsidP="003A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2018-2020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3A743D" w:rsidRPr="004A4CE1" w:rsidRDefault="003A743D" w:rsidP="003A74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055E61">
        <w:rPr>
          <w:rFonts w:ascii="Times New Roman" w:hAnsi="Times New Roman" w:cs="Times New Roman"/>
          <w:bCs/>
          <w:sz w:val="28"/>
          <w:szCs w:val="28"/>
        </w:rPr>
        <w:t>охоновского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3A743D" w:rsidRDefault="003A743D" w:rsidP="003A74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055E61">
        <w:rPr>
          <w:rFonts w:ascii="Times New Roman" w:hAnsi="Times New Roman" w:cs="Times New Roman"/>
          <w:sz w:val="28"/>
          <w:szCs w:val="28"/>
        </w:rPr>
        <w:t>охоновского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E61" w:rsidRPr="00055E61" w:rsidRDefault="003A743D" w:rsidP="00055E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11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п.15 Порядка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proofErr w:type="gramStart"/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="00055E61" w:rsidRPr="00055E61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="00055E61" w:rsidRPr="00055E61">
        <w:rPr>
          <w:rFonts w:ascii="Times New Roman" w:eastAsia="Calibri" w:hAnsi="Times New Roman" w:cs="Times New Roman"/>
          <w:sz w:val="28"/>
          <w:szCs w:val="28"/>
          <w:lang w:eastAsia="ru-RU"/>
        </w:rPr>
        <w:t>, к проверке предоставлен только проект постановления.</w:t>
      </w:r>
    </w:p>
    <w:p w:rsidR="00055E61" w:rsidRPr="00055E61" w:rsidRDefault="00055E61" w:rsidP="0005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E61">
        <w:rPr>
          <w:rFonts w:ascii="Times New Roman" w:hAnsi="Times New Roman"/>
          <w:sz w:val="28"/>
          <w:szCs w:val="28"/>
        </w:rPr>
        <w:t xml:space="preserve">В нарушение п.18 Порядка, одновременно с проектом муниципальной программы не представлен проект постановления администрации </w:t>
      </w:r>
      <w:proofErr w:type="spellStart"/>
      <w:r w:rsidRPr="00055E61">
        <w:rPr>
          <w:rFonts w:ascii="Times New Roman" w:hAnsi="Times New Roman"/>
          <w:sz w:val="28"/>
          <w:szCs w:val="28"/>
        </w:rPr>
        <w:t>Мохоновского</w:t>
      </w:r>
      <w:proofErr w:type="spellEnd"/>
      <w:r w:rsidRPr="00055E61">
        <w:rPr>
          <w:rFonts w:ascii="Times New Roman" w:hAnsi="Times New Roman"/>
          <w:sz w:val="28"/>
          <w:szCs w:val="28"/>
        </w:rPr>
        <w:t xml:space="preserve"> сельского посел</w:t>
      </w:r>
      <w:r w:rsidRPr="00055E61">
        <w:rPr>
          <w:rFonts w:ascii="Times New Roman" w:hAnsi="Times New Roman"/>
          <w:sz w:val="28"/>
          <w:szCs w:val="28"/>
        </w:rPr>
        <w:t>е</w:t>
      </w:r>
      <w:r w:rsidRPr="00055E61">
        <w:rPr>
          <w:rFonts w:ascii="Times New Roman" w:hAnsi="Times New Roman"/>
          <w:sz w:val="28"/>
          <w:szCs w:val="28"/>
        </w:rPr>
        <w:t>ния об утверждении муниципальной программы.</w:t>
      </w:r>
    </w:p>
    <w:p w:rsidR="003A743D" w:rsidRPr="00A87ADB" w:rsidRDefault="003A743D" w:rsidP="003A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3A743D" w:rsidRDefault="003A743D" w:rsidP="003A7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-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рублей).</w:t>
      </w:r>
    </w:p>
    <w:p w:rsidR="003A743D" w:rsidRPr="00E207B0" w:rsidRDefault="003A743D" w:rsidP="003A7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2018г – 353,5  тыс. рублей, в 2019г – 367,7 тыс. рублей, в 2020 году – 382,4 тыс. рублей</w:t>
      </w:r>
      <w:r w:rsid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5E61"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E207B0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</w:t>
      </w:r>
      <w:proofErr w:type="gramEnd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п.18 Методических рекомендаций, в</w:t>
      </w:r>
      <w:r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0" w:history="1">
        <w:r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</w:p>
    <w:p w:rsidR="00055E61" w:rsidRPr="00055E61" w:rsidRDefault="003A743D" w:rsidP="0005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3D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E207B0">
        <w:t xml:space="preserve"> </w:t>
      </w:r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 </w:t>
      </w:r>
      <w:proofErr w:type="spellStart"/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055E61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 п.10 Порядка, в паспорте муниципальной программы  ресурсное обеспечение  определено без расшифровки по источникам финансирования. Разделом 4 «Ресурсное обеспечение реализации муниципальной программы. Объемы и источники финансирования муниципальной программы»  также не определены источники финансирования.</w:t>
      </w:r>
    </w:p>
    <w:p w:rsidR="00055E61" w:rsidRPr="00055E61" w:rsidRDefault="00055E61" w:rsidP="0005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отмечает, что в паспорте муниципальной программы общий объем бюджетных ассигнований (в том числе по годам) определен выше, чем предусмотрено в проекте бюджета  на  30,0 тыс. рублей.</w:t>
      </w:r>
    </w:p>
    <w:p w:rsidR="00055E61" w:rsidRPr="00055E61" w:rsidRDefault="00055E61" w:rsidP="0005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пп.4 п.10, п.12 Порядка</w:t>
      </w:r>
      <w:r w:rsidRPr="00055E61">
        <w:rPr>
          <w:rFonts w:ascii="Times New Roman" w:hAnsi="Times New Roman"/>
          <w:sz w:val="28"/>
          <w:szCs w:val="28"/>
        </w:rPr>
        <w:t xml:space="preserve"> муниципальная программа не содержит ни одного сведения о показателях (индикаторах) муниципальной программы и их значениях</w:t>
      </w:r>
    </w:p>
    <w:p w:rsidR="00055E61" w:rsidRPr="00055E61" w:rsidRDefault="00055E61" w:rsidP="0005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дать оценку проекту муниципальной программы не предоставляется возможным, как и достижение </w:t>
      </w:r>
      <w:proofErr w:type="gramStart"/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proofErr w:type="gramEnd"/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задач муниципальной программы.</w:t>
      </w:r>
    </w:p>
    <w:p w:rsidR="003A743D" w:rsidRPr="00A87ADB" w:rsidRDefault="00055E61" w:rsidP="00055E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настоящий момент, полноценная система муниципальной программы,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поселения, не сформирована.</w:t>
      </w:r>
      <w:r w:rsidRPr="00055E61">
        <w:rPr>
          <w:rFonts w:ascii="Times New Roman" w:eastAsia="Times New Roman" w:hAnsi="Times New Roman" w:cs="Times New Roman"/>
          <w:bCs/>
          <w:caps/>
          <w:color w:val="FF0000"/>
          <w:sz w:val="28"/>
          <w:szCs w:val="28"/>
          <w:lang w:eastAsia="ru-RU"/>
        </w:rPr>
        <w:t> </w:t>
      </w:r>
    </w:p>
    <w:p w:rsidR="003A743D" w:rsidRPr="00D2783C" w:rsidRDefault="003A743D" w:rsidP="003A743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bookmarkStart w:id="1" w:name="_GoBack"/>
      <w:bookmarkEnd w:id="1"/>
    </w:p>
    <w:p w:rsidR="003A743D" w:rsidRPr="004D11AB" w:rsidRDefault="003A743D" w:rsidP="003A743D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43D" w:rsidRDefault="003A743D" w:rsidP="003A7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A743D" w:rsidRDefault="003A743D" w:rsidP="003A7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охоновскому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охоновского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055E61" w:rsidRDefault="00055E61" w:rsidP="003A74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-Определить целевые показател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индикаторы) муниципальной программы,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взаимоувязать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целями и задачами муниципальной программы.</w:t>
      </w:r>
    </w:p>
    <w:p w:rsidR="00055E61" w:rsidRDefault="003A743D" w:rsidP="00055E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055E61" w:rsidRDefault="003A743D" w:rsidP="00055E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A05921" w:rsidRDefault="00055E61" w:rsidP="00055E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05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A05921" w:rsidRDefault="00A05921" w:rsidP="00055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A05921" w:rsidRPr="004D11AB" w:rsidRDefault="00A05921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21" w:rsidRPr="002171F5" w:rsidRDefault="00A05921" w:rsidP="00A059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05921" w:rsidRDefault="00A05921" w:rsidP="00A0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51" w:rsidRDefault="00A05921" w:rsidP="00055E6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А.В.Грабельникова</w:t>
      </w:r>
      <w:proofErr w:type="spellEnd"/>
    </w:p>
    <w:sectPr w:rsidR="00466E51" w:rsidSect="00BD78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7B" w:rsidRDefault="00EB767B" w:rsidP="00BD7885">
      <w:pPr>
        <w:spacing w:after="0" w:line="240" w:lineRule="auto"/>
      </w:pPr>
      <w:r>
        <w:separator/>
      </w:r>
    </w:p>
  </w:endnote>
  <w:endnote w:type="continuationSeparator" w:id="0">
    <w:p w:rsidR="00EB767B" w:rsidRDefault="00EB767B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7B" w:rsidRDefault="00EB767B" w:rsidP="00BD7885">
      <w:pPr>
        <w:spacing w:after="0" w:line="240" w:lineRule="auto"/>
      </w:pPr>
      <w:r>
        <w:separator/>
      </w:r>
    </w:p>
  </w:footnote>
  <w:footnote w:type="continuationSeparator" w:id="0">
    <w:p w:rsidR="00EB767B" w:rsidRDefault="00EB767B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Content>
      <w:p w:rsidR="00862CB2" w:rsidRDefault="00862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84">
          <w:rPr>
            <w:noProof/>
          </w:rPr>
          <w:t>18</w:t>
        </w:r>
        <w:r>
          <w:fldChar w:fldCharType="end"/>
        </w:r>
      </w:p>
    </w:sdtContent>
  </w:sdt>
  <w:p w:rsidR="00862CB2" w:rsidRDefault="00862C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7ED2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8032E"/>
    <w:multiLevelType w:val="hybridMultilevel"/>
    <w:tmpl w:val="BDA288E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4CD2"/>
    <w:rsid w:val="00055E61"/>
    <w:rsid w:val="00055F52"/>
    <w:rsid w:val="000561AA"/>
    <w:rsid w:val="0005665A"/>
    <w:rsid w:val="0006301E"/>
    <w:rsid w:val="000647BB"/>
    <w:rsid w:val="000653F3"/>
    <w:rsid w:val="00066F04"/>
    <w:rsid w:val="0006769B"/>
    <w:rsid w:val="000738B2"/>
    <w:rsid w:val="00074524"/>
    <w:rsid w:val="0007468D"/>
    <w:rsid w:val="00074A0F"/>
    <w:rsid w:val="00077902"/>
    <w:rsid w:val="000849FE"/>
    <w:rsid w:val="00086BB3"/>
    <w:rsid w:val="000933CB"/>
    <w:rsid w:val="000956E8"/>
    <w:rsid w:val="000A5DE2"/>
    <w:rsid w:val="000B280A"/>
    <w:rsid w:val="000B6664"/>
    <w:rsid w:val="000C0315"/>
    <w:rsid w:val="000C21B3"/>
    <w:rsid w:val="000C2C6B"/>
    <w:rsid w:val="000C582C"/>
    <w:rsid w:val="000C679B"/>
    <w:rsid w:val="000D1581"/>
    <w:rsid w:val="000D1807"/>
    <w:rsid w:val="000D24DA"/>
    <w:rsid w:val="000E1C73"/>
    <w:rsid w:val="000E298B"/>
    <w:rsid w:val="000E390B"/>
    <w:rsid w:val="000E3F3A"/>
    <w:rsid w:val="000E43B0"/>
    <w:rsid w:val="000E649B"/>
    <w:rsid w:val="000E792B"/>
    <w:rsid w:val="000F1E39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36"/>
    <w:rsid w:val="001144CE"/>
    <w:rsid w:val="00115756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5B6F"/>
    <w:rsid w:val="00156A6C"/>
    <w:rsid w:val="001607F3"/>
    <w:rsid w:val="00166ED1"/>
    <w:rsid w:val="001724B5"/>
    <w:rsid w:val="00172EE8"/>
    <w:rsid w:val="0017704A"/>
    <w:rsid w:val="00180D74"/>
    <w:rsid w:val="0018345C"/>
    <w:rsid w:val="001841C0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40E2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0884"/>
    <w:rsid w:val="001E4903"/>
    <w:rsid w:val="001E5868"/>
    <w:rsid w:val="001E604D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AF8"/>
    <w:rsid w:val="00236F7A"/>
    <w:rsid w:val="00237FC8"/>
    <w:rsid w:val="0024100F"/>
    <w:rsid w:val="002412F5"/>
    <w:rsid w:val="00242BE4"/>
    <w:rsid w:val="002442DD"/>
    <w:rsid w:val="002451EB"/>
    <w:rsid w:val="002456EF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25D3"/>
    <w:rsid w:val="00274790"/>
    <w:rsid w:val="00274991"/>
    <w:rsid w:val="002763F8"/>
    <w:rsid w:val="002810E6"/>
    <w:rsid w:val="00286243"/>
    <w:rsid w:val="00286DFC"/>
    <w:rsid w:val="002876AA"/>
    <w:rsid w:val="0029026E"/>
    <w:rsid w:val="002906EB"/>
    <w:rsid w:val="002A1AB8"/>
    <w:rsid w:val="002A2447"/>
    <w:rsid w:val="002A2919"/>
    <w:rsid w:val="002A40E6"/>
    <w:rsid w:val="002A44DA"/>
    <w:rsid w:val="002A4AAC"/>
    <w:rsid w:val="002A63BF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21F"/>
    <w:rsid w:val="002D37DC"/>
    <w:rsid w:val="002D4BC4"/>
    <w:rsid w:val="002D5556"/>
    <w:rsid w:val="002D757E"/>
    <w:rsid w:val="002D774C"/>
    <w:rsid w:val="002E1F0C"/>
    <w:rsid w:val="002E3E07"/>
    <w:rsid w:val="002E3F3F"/>
    <w:rsid w:val="002E560D"/>
    <w:rsid w:val="002E77EA"/>
    <w:rsid w:val="002F5A05"/>
    <w:rsid w:val="002F6A45"/>
    <w:rsid w:val="002F746B"/>
    <w:rsid w:val="0030141E"/>
    <w:rsid w:val="00301E7A"/>
    <w:rsid w:val="00304C77"/>
    <w:rsid w:val="0030667E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09B0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56EE4"/>
    <w:rsid w:val="003604FA"/>
    <w:rsid w:val="00362BD8"/>
    <w:rsid w:val="003631A9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97F84"/>
    <w:rsid w:val="003A0F8B"/>
    <w:rsid w:val="003A1430"/>
    <w:rsid w:val="003A1B1E"/>
    <w:rsid w:val="003A1D68"/>
    <w:rsid w:val="003A4502"/>
    <w:rsid w:val="003A469A"/>
    <w:rsid w:val="003A5B33"/>
    <w:rsid w:val="003A743D"/>
    <w:rsid w:val="003B34B7"/>
    <w:rsid w:val="003B6859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3F719B"/>
    <w:rsid w:val="0040025A"/>
    <w:rsid w:val="004022BD"/>
    <w:rsid w:val="00404CDE"/>
    <w:rsid w:val="004106EB"/>
    <w:rsid w:val="00413278"/>
    <w:rsid w:val="00413C03"/>
    <w:rsid w:val="00413C9B"/>
    <w:rsid w:val="00422359"/>
    <w:rsid w:val="00423238"/>
    <w:rsid w:val="00424D3A"/>
    <w:rsid w:val="00427B42"/>
    <w:rsid w:val="00430B2B"/>
    <w:rsid w:val="004329DE"/>
    <w:rsid w:val="00437BE8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34C6"/>
    <w:rsid w:val="004A39AE"/>
    <w:rsid w:val="004A40ED"/>
    <w:rsid w:val="004A415E"/>
    <w:rsid w:val="004A4F14"/>
    <w:rsid w:val="004A78E4"/>
    <w:rsid w:val="004B073D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C71BB"/>
    <w:rsid w:val="004D0054"/>
    <w:rsid w:val="004D11AB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FFE"/>
    <w:rsid w:val="004E77E2"/>
    <w:rsid w:val="004F0ABF"/>
    <w:rsid w:val="004F1CBA"/>
    <w:rsid w:val="004F1D9C"/>
    <w:rsid w:val="004F3482"/>
    <w:rsid w:val="004F6515"/>
    <w:rsid w:val="004F7F3C"/>
    <w:rsid w:val="005048D1"/>
    <w:rsid w:val="00504CAD"/>
    <w:rsid w:val="00506D4E"/>
    <w:rsid w:val="005124F4"/>
    <w:rsid w:val="005144DC"/>
    <w:rsid w:val="0051717D"/>
    <w:rsid w:val="00517BF0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655BE"/>
    <w:rsid w:val="0056759D"/>
    <w:rsid w:val="00571D6F"/>
    <w:rsid w:val="005739E0"/>
    <w:rsid w:val="00581F23"/>
    <w:rsid w:val="00582FA4"/>
    <w:rsid w:val="005867EE"/>
    <w:rsid w:val="00590070"/>
    <w:rsid w:val="00594D83"/>
    <w:rsid w:val="00596B5B"/>
    <w:rsid w:val="005A0933"/>
    <w:rsid w:val="005A095D"/>
    <w:rsid w:val="005A0F22"/>
    <w:rsid w:val="005A1A4F"/>
    <w:rsid w:val="005A288C"/>
    <w:rsid w:val="005A578E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F5106"/>
    <w:rsid w:val="005F5788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00D1"/>
    <w:rsid w:val="00647244"/>
    <w:rsid w:val="006476A9"/>
    <w:rsid w:val="00650C02"/>
    <w:rsid w:val="0065143E"/>
    <w:rsid w:val="00652F95"/>
    <w:rsid w:val="00653D7A"/>
    <w:rsid w:val="0065636A"/>
    <w:rsid w:val="00656DE0"/>
    <w:rsid w:val="0065762F"/>
    <w:rsid w:val="00657A75"/>
    <w:rsid w:val="00661CB0"/>
    <w:rsid w:val="0066202D"/>
    <w:rsid w:val="00663852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2242"/>
    <w:rsid w:val="006B5823"/>
    <w:rsid w:val="006B62FA"/>
    <w:rsid w:val="006B64D3"/>
    <w:rsid w:val="006C19AF"/>
    <w:rsid w:val="006C2A58"/>
    <w:rsid w:val="006C2FAC"/>
    <w:rsid w:val="006C534E"/>
    <w:rsid w:val="006C66A0"/>
    <w:rsid w:val="006C68C9"/>
    <w:rsid w:val="006D3372"/>
    <w:rsid w:val="006E17E3"/>
    <w:rsid w:val="006E2021"/>
    <w:rsid w:val="006E52BF"/>
    <w:rsid w:val="006E6664"/>
    <w:rsid w:val="006F66C7"/>
    <w:rsid w:val="006F73CA"/>
    <w:rsid w:val="0070120C"/>
    <w:rsid w:val="00701E58"/>
    <w:rsid w:val="00705BF1"/>
    <w:rsid w:val="00707377"/>
    <w:rsid w:val="0070749F"/>
    <w:rsid w:val="00707B53"/>
    <w:rsid w:val="0071133A"/>
    <w:rsid w:val="0071293A"/>
    <w:rsid w:val="00712B92"/>
    <w:rsid w:val="00715A01"/>
    <w:rsid w:val="00716EC3"/>
    <w:rsid w:val="00717789"/>
    <w:rsid w:val="00722BD5"/>
    <w:rsid w:val="0072379F"/>
    <w:rsid w:val="007245F9"/>
    <w:rsid w:val="00724EA5"/>
    <w:rsid w:val="00725C68"/>
    <w:rsid w:val="00725FBA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0E97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4B89"/>
    <w:rsid w:val="007D4FCE"/>
    <w:rsid w:val="007D6580"/>
    <w:rsid w:val="007D73DF"/>
    <w:rsid w:val="007D7B83"/>
    <w:rsid w:val="007E00B2"/>
    <w:rsid w:val="007E12CC"/>
    <w:rsid w:val="007E1507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7A0"/>
    <w:rsid w:val="00834A15"/>
    <w:rsid w:val="00834AFD"/>
    <w:rsid w:val="00837D8E"/>
    <w:rsid w:val="00846298"/>
    <w:rsid w:val="00847F5B"/>
    <w:rsid w:val="00850BA9"/>
    <w:rsid w:val="00857EC2"/>
    <w:rsid w:val="008603F5"/>
    <w:rsid w:val="00862CB2"/>
    <w:rsid w:val="00863D54"/>
    <w:rsid w:val="0087318C"/>
    <w:rsid w:val="00873A6C"/>
    <w:rsid w:val="0087527B"/>
    <w:rsid w:val="008757FD"/>
    <w:rsid w:val="00877278"/>
    <w:rsid w:val="008800C8"/>
    <w:rsid w:val="00880A48"/>
    <w:rsid w:val="00880BF6"/>
    <w:rsid w:val="00882597"/>
    <w:rsid w:val="008870B7"/>
    <w:rsid w:val="00891A8D"/>
    <w:rsid w:val="0089517A"/>
    <w:rsid w:val="008957C0"/>
    <w:rsid w:val="0089581E"/>
    <w:rsid w:val="008962A7"/>
    <w:rsid w:val="0089756E"/>
    <w:rsid w:val="008A3E62"/>
    <w:rsid w:val="008B1C67"/>
    <w:rsid w:val="008B5621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3AD2"/>
    <w:rsid w:val="008F47EA"/>
    <w:rsid w:val="00904804"/>
    <w:rsid w:val="00904F4B"/>
    <w:rsid w:val="00904F8B"/>
    <w:rsid w:val="009055C7"/>
    <w:rsid w:val="0090691B"/>
    <w:rsid w:val="009124AE"/>
    <w:rsid w:val="009166DB"/>
    <w:rsid w:val="009174BE"/>
    <w:rsid w:val="00917B22"/>
    <w:rsid w:val="009201C1"/>
    <w:rsid w:val="0092276F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69E"/>
    <w:rsid w:val="00957AF2"/>
    <w:rsid w:val="0096227A"/>
    <w:rsid w:val="00963203"/>
    <w:rsid w:val="00965F15"/>
    <w:rsid w:val="009716FC"/>
    <w:rsid w:val="009735A7"/>
    <w:rsid w:val="00973DBB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7E84"/>
    <w:rsid w:val="009B0EF8"/>
    <w:rsid w:val="009B26B8"/>
    <w:rsid w:val="009B4DA1"/>
    <w:rsid w:val="009B503A"/>
    <w:rsid w:val="009B5B41"/>
    <w:rsid w:val="009B5E75"/>
    <w:rsid w:val="009C1738"/>
    <w:rsid w:val="009C1A81"/>
    <w:rsid w:val="009C1BBD"/>
    <w:rsid w:val="009C2E7E"/>
    <w:rsid w:val="009C5BEF"/>
    <w:rsid w:val="009D64FD"/>
    <w:rsid w:val="009E044A"/>
    <w:rsid w:val="009E273E"/>
    <w:rsid w:val="009E2F6E"/>
    <w:rsid w:val="009E36F9"/>
    <w:rsid w:val="009E5332"/>
    <w:rsid w:val="009E5BFC"/>
    <w:rsid w:val="009F1DE0"/>
    <w:rsid w:val="009F34FC"/>
    <w:rsid w:val="009F49D9"/>
    <w:rsid w:val="009F5915"/>
    <w:rsid w:val="009F6823"/>
    <w:rsid w:val="009F693E"/>
    <w:rsid w:val="00A04344"/>
    <w:rsid w:val="00A04D5B"/>
    <w:rsid w:val="00A05921"/>
    <w:rsid w:val="00A13DD4"/>
    <w:rsid w:val="00A144D9"/>
    <w:rsid w:val="00A20E65"/>
    <w:rsid w:val="00A21AD8"/>
    <w:rsid w:val="00A22B02"/>
    <w:rsid w:val="00A32DD3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686B"/>
    <w:rsid w:val="00A76D83"/>
    <w:rsid w:val="00A826D1"/>
    <w:rsid w:val="00A84759"/>
    <w:rsid w:val="00A8769D"/>
    <w:rsid w:val="00A87C27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656A"/>
    <w:rsid w:val="00AD15CB"/>
    <w:rsid w:val="00AD1B67"/>
    <w:rsid w:val="00AD1E9A"/>
    <w:rsid w:val="00AD4646"/>
    <w:rsid w:val="00AD784E"/>
    <w:rsid w:val="00AE2DF0"/>
    <w:rsid w:val="00AE506D"/>
    <w:rsid w:val="00AE61D4"/>
    <w:rsid w:val="00AE6A51"/>
    <w:rsid w:val="00AE7F34"/>
    <w:rsid w:val="00AF2763"/>
    <w:rsid w:val="00AF61B8"/>
    <w:rsid w:val="00B01196"/>
    <w:rsid w:val="00B015F1"/>
    <w:rsid w:val="00B034BC"/>
    <w:rsid w:val="00B053C0"/>
    <w:rsid w:val="00B076EC"/>
    <w:rsid w:val="00B10A0A"/>
    <w:rsid w:val="00B14F07"/>
    <w:rsid w:val="00B15954"/>
    <w:rsid w:val="00B2046F"/>
    <w:rsid w:val="00B267D8"/>
    <w:rsid w:val="00B26D68"/>
    <w:rsid w:val="00B27EC1"/>
    <w:rsid w:val="00B333D5"/>
    <w:rsid w:val="00B349F8"/>
    <w:rsid w:val="00B4031D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1C47"/>
    <w:rsid w:val="00B6286F"/>
    <w:rsid w:val="00B641E4"/>
    <w:rsid w:val="00B70E9B"/>
    <w:rsid w:val="00B752B9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1D28"/>
    <w:rsid w:val="00BB647D"/>
    <w:rsid w:val="00BB7BCE"/>
    <w:rsid w:val="00BC11CA"/>
    <w:rsid w:val="00BC1F21"/>
    <w:rsid w:val="00BC2718"/>
    <w:rsid w:val="00BC3AB8"/>
    <w:rsid w:val="00BC4280"/>
    <w:rsid w:val="00BC4C4B"/>
    <w:rsid w:val="00BC4DF1"/>
    <w:rsid w:val="00BC5357"/>
    <w:rsid w:val="00BC5C42"/>
    <w:rsid w:val="00BC6568"/>
    <w:rsid w:val="00BD234D"/>
    <w:rsid w:val="00BD45BF"/>
    <w:rsid w:val="00BD4931"/>
    <w:rsid w:val="00BD7885"/>
    <w:rsid w:val="00BD797B"/>
    <w:rsid w:val="00BE187C"/>
    <w:rsid w:val="00BE1C07"/>
    <w:rsid w:val="00BE4F2C"/>
    <w:rsid w:val="00BE5C16"/>
    <w:rsid w:val="00BE60A0"/>
    <w:rsid w:val="00BF22A1"/>
    <w:rsid w:val="00BF416C"/>
    <w:rsid w:val="00BF4DA5"/>
    <w:rsid w:val="00BF75FE"/>
    <w:rsid w:val="00BF7849"/>
    <w:rsid w:val="00BF7944"/>
    <w:rsid w:val="00C014AF"/>
    <w:rsid w:val="00C0665A"/>
    <w:rsid w:val="00C077D6"/>
    <w:rsid w:val="00C07FFB"/>
    <w:rsid w:val="00C10608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418"/>
    <w:rsid w:val="00C525BF"/>
    <w:rsid w:val="00C531EA"/>
    <w:rsid w:val="00C55174"/>
    <w:rsid w:val="00C5683D"/>
    <w:rsid w:val="00C568FB"/>
    <w:rsid w:val="00C5715F"/>
    <w:rsid w:val="00C5754B"/>
    <w:rsid w:val="00C65D14"/>
    <w:rsid w:val="00C66AC6"/>
    <w:rsid w:val="00C66B26"/>
    <w:rsid w:val="00C72980"/>
    <w:rsid w:val="00C732F7"/>
    <w:rsid w:val="00C73C2F"/>
    <w:rsid w:val="00C75992"/>
    <w:rsid w:val="00C80911"/>
    <w:rsid w:val="00C86028"/>
    <w:rsid w:val="00C86D8F"/>
    <w:rsid w:val="00C90107"/>
    <w:rsid w:val="00C9129E"/>
    <w:rsid w:val="00C915CF"/>
    <w:rsid w:val="00C94201"/>
    <w:rsid w:val="00C9446F"/>
    <w:rsid w:val="00CA1CEF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C4B33"/>
    <w:rsid w:val="00CC508E"/>
    <w:rsid w:val="00CC77E7"/>
    <w:rsid w:val="00CD15B1"/>
    <w:rsid w:val="00CD1F53"/>
    <w:rsid w:val="00CD35D2"/>
    <w:rsid w:val="00CD51A2"/>
    <w:rsid w:val="00CD5652"/>
    <w:rsid w:val="00CD764A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4290"/>
    <w:rsid w:val="00D46806"/>
    <w:rsid w:val="00D510CD"/>
    <w:rsid w:val="00D55418"/>
    <w:rsid w:val="00D55E9A"/>
    <w:rsid w:val="00D567CB"/>
    <w:rsid w:val="00D60C69"/>
    <w:rsid w:val="00D62F07"/>
    <w:rsid w:val="00D66488"/>
    <w:rsid w:val="00D674EB"/>
    <w:rsid w:val="00D676A4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A040E"/>
    <w:rsid w:val="00DA2439"/>
    <w:rsid w:val="00DA32C2"/>
    <w:rsid w:val="00DA3640"/>
    <w:rsid w:val="00DA6BA6"/>
    <w:rsid w:val="00DA711E"/>
    <w:rsid w:val="00DB03DE"/>
    <w:rsid w:val="00DB0BF1"/>
    <w:rsid w:val="00DB1BC4"/>
    <w:rsid w:val="00DB3655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3C7"/>
    <w:rsid w:val="00DE0159"/>
    <w:rsid w:val="00DE1449"/>
    <w:rsid w:val="00DE440B"/>
    <w:rsid w:val="00DE47B0"/>
    <w:rsid w:val="00DE71D2"/>
    <w:rsid w:val="00DF0C77"/>
    <w:rsid w:val="00DF1D1F"/>
    <w:rsid w:val="00DF6A6F"/>
    <w:rsid w:val="00DF7018"/>
    <w:rsid w:val="00DF790D"/>
    <w:rsid w:val="00E01B7E"/>
    <w:rsid w:val="00E02280"/>
    <w:rsid w:val="00E043B9"/>
    <w:rsid w:val="00E0628D"/>
    <w:rsid w:val="00E0729A"/>
    <w:rsid w:val="00E07A8E"/>
    <w:rsid w:val="00E12B56"/>
    <w:rsid w:val="00E12CD0"/>
    <w:rsid w:val="00E15D70"/>
    <w:rsid w:val="00E208D7"/>
    <w:rsid w:val="00E20904"/>
    <w:rsid w:val="00E2349C"/>
    <w:rsid w:val="00E235AB"/>
    <w:rsid w:val="00E2385D"/>
    <w:rsid w:val="00E258AE"/>
    <w:rsid w:val="00E25D89"/>
    <w:rsid w:val="00E27EF6"/>
    <w:rsid w:val="00E27FCE"/>
    <w:rsid w:val="00E31652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B0E47"/>
    <w:rsid w:val="00EB132D"/>
    <w:rsid w:val="00EB14A3"/>
    <w:rsid w:val="00EB31C3"/>
    <w:rsid w:val="00EB346F"/>
    <w:rsid w:val="00EB4E56"/>
    <w:rsid w:val="00EB62C7"/>
    <w:rsid w:val="00EB767B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3B4F"/>
    <w:rsid w:val="00EF4697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46171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96F"/>
    <w:rsid w:val="00FA3DBC"/>
    <w:rsid w:val="00FA3E20"/>
    <w:rsid w:val="00FA4635"/>
    <w:rsid w:val="00FA5001"/>
    <w:rsid w:val="00FA5159"/>
    <w:rsid w:val="00FA7280"/>
    <w:rsid w:val="00FB3D27"/>
    <w:rsid w:val="00FB4239"/>
    <w:rsid w:val="00FB4241"/>
    <w:rsid w:val="00FB5043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6163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745F3242BA0EEC2DF4FE0C1BB133EBBE3F5804071FC164E113456D4B58B8F83205E0C49C30gBt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745F3242BA0EEC2DF4FE0C1BB133EBBE3F5804071FC164E113456D4B58B8F83205E0C49C30gB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E8FA-6402-473D-A3DA-3C5E16CE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18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11</cp:revision>
  <cp:lastPrinted>2017-12-28T15:15:00Z</cp:lastPrinted>
  <dcterms:created xsi:type="dcterms:W3CDTF">2016-11-30T12:28:00Z</dcterms:created>
  <dcterms:modified xsi:type="dcterms:W3CDTF">2017-12-28T15:16:00Z</dcterms:modified>
</cp:coreProperties>
</file>