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2E2A73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11AB"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5A4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704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704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704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620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                          21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.12.201</w:t>
      </w:r>
      <w:r w:rsidR="00704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0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0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bookmarkStart w:id="1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1"/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051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 2020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макроэкономических показателей социально-экономического развития за предыдущие годы,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итогов за 201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сценарных условий развития экономики Брянской области и РФ на 201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704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</w:t>
      </w:r>
      <w:r w:rsidR="00D9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прогноза социально-экономического развития </w:t>
      </w:r>
      <w:proofErr w:type="spellStart"/>
      <w:r w:rsidR="00D93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Мишковского</w:t>
      </w:r>
      <w:proofErr w:type="spellEnd"/>
      <w:r w:rsidR="00D9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14.11.2017 №88.</w:t>
      </w:r>
      <w:proofErr w:type="gramEnd"/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условия разработки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5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D934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</w:t>
      </w:r>
      <w:r w:rsidR="00D934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(далее - прогноз), характеризуются замедлением темпов роста экономики. </w:t>
      </w:r>
    </w:p>
    <w:p w:rsidR="00BA4075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Территория М</w:t>
      </w:r>
      <w:r w:rsidR="00A55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ишковского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входит в состав территории Стародубского муниципального района. </w:t>
      </w:r>
      <w:r w:rsidR="00DA2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муниципального образования находится 12 населенных пунктов. Наличие </w:t>
      </w:r>
      <w:r w:rsidR="00DA2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земельных угодий Мишковского сельского поселения на 01.01.201</w:t>
      </w:r>
      <w:r w:rsidR="00623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DA2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состави</w:t>
      </w:r>
      <w:r w:rsidR="008C5A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  17461,59 га, в том числе сельхозугодия 10368,17 га, из них пашни 7618,88 га, сенокосы – 909,42 га, пастбища – 1052,15 га, прочие земли – 787,72 га.</w:t>
      </w:r>
      <w:r w:rsidR="00DA26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66DDF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прогноза социально-экономического развития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до 20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использовались данные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сельхозпредприятий: </w:t>
      </w:r>
      <w:r w:rsidR="008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C5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АгроЛенина</w:t>
      </w:r>
      <w:proofErr w:type="spellEnd"/>
      <w:r w:rsidR="008C5A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колхоз «Большевик»</w:t>
      </w:r>
      <w:r w:rsidR="00066D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«Большевик», СПК «</w:t>
      </w:r>
      <w:proofErr w:type="spellStart"/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Тарасовка</w:t>
      </w:r>
      <w:proofErr w:type="spellEnd"/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6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фермерских хозяйств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находящееся на территории 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6DD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индивидуальных предпринимателей.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381" w:rsidRDefault="004D11AB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B513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66DD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proofErr w:type="spellEnd"/>
      <w:r w:rsidR="00F9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расположены следующие социально-культурные объекты: </w:t>
      </w:r>
    </w:p>
    <w:p w:rsidR="004D11AB" w:rsidRDefault="00B51381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образования</w:t>
      </w:r>
      <w:r w:rsidR="00F96E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школы - 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сады – 2;</w:t>
      </w:r>
    </w:p>
    <w:p w:rsidR="00B51381" w:rsidRDefault="00B51381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учреждений культуры</w:t>
      </w:r>
      <w:r w:rsidR="00F96E32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дома культуры– </w:t>
      </w:r>
      <w:r w:rsidR="00F9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библиотеки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5A7" w:rsidRPr="004D11AB" w:rsidRDefault="009735A7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учреждений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фельдшерско-акушерской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</w:t>
      </w:r>
      <w:r w:rsidR="00F96E32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сообщение на территории поселения обеспечивается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Стародубским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АТП. Для успешного развития экономики необходимо поддерживать сообщение между всеми населенными пунктами.</w:t>
      </w:r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ишковском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численность сельского поселения составила </w:t>
      </w:r>
      <w:r w:rsidR="00623EC2">
        <w:rPr>
          <w:rFonts w:ascii="Times New Roman" w:eastAsia="Times New Roman" w:hAnsi="Times New Roman" w:cs="Times New Roman"/>
          <w:sz w:val="28"/>
          <w:szCs w:val="28"/>
          <w:lang w:eastAsia="ru-RU"/>
        </w:rPr>
        <w:t>2074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r w:rsidR="0097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F7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62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62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</w:t>
      </w:r>
      <w:r w:rsidR="00623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r w:rsidR="00AB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Прогноз основных характеристик (общий объем доходов, общий объем расходов, дефицита (профицита) бюджета) бюджета М</w:t>
      </w:r>
      <w:r w:rsidR="007F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D11AB" w:rsidRDefault="007F7899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r w:rsidR="00BB1D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7F7899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Реестр источников доходов бюджета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0729A" w:rsidRDefault="007F7899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муниципального внутреннего долга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1352C" w:rsidRPr="0081352C" w:rsidRDefault="0081352C" w:rsidP="0081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нарушении ст.184.2 Бюджетного Кодекса РФ, к проверке не представлены </w:t>
      </w:r>
      <w:r w:rsidRPr="0081352C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</w:t>
      </w:r>
      <w:r w:rsidR="0030679C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2285,8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30679C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End"/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="005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5E60">
        <w:rPr>
          <w:rFonts w:ascii="Times New Roman" w:eastAsia="Times New Roman" w:hAnsi="Times New Roman" w:cs="Times New Roman"/>
          <w:sz w:val="28"/>
          <w:szCs w:val="28"/>
          <w:lang w:eastAsia="ru-RU"/>
        </w:rPr>
        <w:t>1046,5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5E60">
        <w:rPr>
          <w:rFonts w:ascii="Times New Roman" w:eastAsia="Times New Roman" w:hAnsi="Times New Roman" w:cs="Times New Roman"/>
          <w:sz w:val="28"/>
          <w:szCs w:val="28"/>
          <w:lang w:eastAsia="ru-RU"/>
        </w:rPr>
        <w:t>1811,2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3067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35E60">
        <w:rPr>
          <w:rFonts w:ascii="Times New Roman" w:eastAsia="Times New Roman" w:hAnsi="Times New Roman" w:cs="Times New Roman"/>
          <w:sz w:val="28"/>
          <w:szCs w:val="28"/>
          <w:lang w:eastAsia="ru-RU"/>
        </w:rPr>
        <w:t>1867,6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35E60" w:rsidRPr="004D11AB" w:rsidRDefault="00435E60" w:rsidP="00435E60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</w:t>
      </w:r>
      <w:r w:rsidR="00B3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бюджету Стародубского муниципального района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E60" w:rsidRPr="004D11AB" w:rsidRDefault="00435E60" w:rsidP="00435E60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302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5E60" w:rsidRPr="004D11AB" w:rsidRDefault="00435E60" w:rsidP="00435E60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302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5E60" w:rsidRDefault="00435E60" w:rsidP="00435E60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302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0209" w:rsidRPr="004D11AB" w:rsidRDefault="00B30209" w:rsidP="00B30209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>
        <w:rPr>
          <w:rFonts w:ascii="Wingdings" w:eastAsia="Times New Roman" w:hAnsi="Wingdings" w:cs="Times New Roman"/>
          <w:sz w:val="28"/>
          <w:szCs w:val="28"/>
          <w:lang w:eastAsia="ru-RU"/>
        </w:rPr>
        <w:t>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B30209" w:rsidRPr="004D11AB" w:rsidRDefault="00B30209" w:rsidP="00B30209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B30209" w:rsidRPr="004D11AB" w:rsidRDefault="00B30209" w:rsidP="00B30209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B30209" w:rsidRPr="004D11AB" w:rsidRDefault="00B30209" w:rsidP="00B30209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35E60" w:rsidRDefault="00435E60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35E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35E6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 w:rsidR="00435E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BC4DF1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составлении, рассмотрении и утверждения бюджета М</w:t>
      </w:r>
      <w:r w:rsidR="00E3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рассмотрения и утверждения отчетности об исполнении бюджета М</w:t>
      </w:r>
      <w:r w:rsidR="00E3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утвержденное решением М</w:t>
      </w:r>
      <w:r w:rsidR="00E3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23.05.2015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№46 (в редакции от 07.11.2016г №123)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209" w:rsidRDefault="00B30209" w:rsidP="00B30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изменения:</w:t>
      </w:r>
    </w:p>
    <w:p w:rsidR="00B30209" w:rsidRPr="00621C2E" w:rsidRDefault="00B30209" w:rsidP="00B30209">
      <w:pPr>
        <w:pStyle w:val="af3"/>
        <w:numPr>
          <w:ilvl w:val="0"/>
          <w:numId w:val="1"/>
        </w:numPr>
        <w:ind w:hanging="359"/>
        <w:jc w:val="both"/>
        <w:rPr>
          <w:sz w:val="28"/>
          <w:szCs w:val="28"/>
        </w:rPr>
      </w:pPr>
      <w:r w:rsidRPr="00621C2E">
        <w:rPr>
          <w:sz w:val="28"/>
          <w:szCs w:val="28"/>
        </w:rPr>
        <w:t xml:space="preserve">пункт 7 проекта решения исключить, ввиду отсутствия на территории </w:t>
      </w:r>
      <w:proofErr w:type="spellStart"/>
      <w:r>
        <w:rPr>
          <w:sz w:val="28"/>
          <w:szCs w:val="28"/>
        </w:rPr>
        <w:t>Мишковского</w:t>
      </w:r>
      <w:proofErr w:type="spellEnd"/>
      <w:r w:rsidRPr="00621C2E">
        <w:rPr>
          <w:sz w:val="28"/>
          <w:szCs w:val="28"/>
        </w:rPr>
        <w:t xml:space="preserve"> сельского поселения муниципальных унитарных предприятий.</w:t>
      </w:r>
    </w:p>
    <w:p w:rsidR="00B30209" w:rsidRDefault="00B30209" w:rsidP="00B30209">
      <w:pPr>
        <w:pStyle w:val="af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11CFA">
        <w:rPr>
          <w:color w:val="000000"/>
          <w:sz w:val="28"/>
          <w:szCs w:val="28"/>
        </w:rPr>
        <w:t xml:space="preserve">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 w:rsidR="00CC0241">
        <w:rPr>
          <w:color w:val="000000"/>
          <w:sz w:val="28"/>
          <w:szCs w:val="28"/>
        </w:rPr>
        <w:t>Мишковскому</w:t>
      </w:r>
      <w:proofErr w:type="spellEnd"/>
      <w:r w:rsidRPr="00B11CFA">
        <w:rPr>
          <w:color w:val="000000"/>
          <w:sz w:val="28"/>
          <w:szCs w:val="28"/>
        </w:rPr>
        <w:t xml:space="preserve"> сельскому поселению предусмотрены в следующих объемах: на 2018 год</w:t>
      </w:r>
      <w:r>
        <w:rPr>
          <w:color w:val="000000"/>
          <w:sz w:val="28"/>
          <w:szCs w:val="28"/>
        </w:rPr>
        <w:t xml:space="preserve"> –</w:t>
      </w:r>
      <w:r w:rsidRPr="00B11CFA">
        <w:rPr>
          <w:color w:val="000000"/>
          <w:sz w:val="28"/>
          <w:szCs w:val="28"/>
        </w:rPr>
        <w:t xml:space="preserve"> </w:t>
      </w:r>
      <w:r w:rsidR="00CC0241">
        <w:rPr>
          <w:color w:val="000000"/>
          <w:sz w:val="28"/>
          <w:szCs w:val="28"/>
        </w:rPr>
        <w:t>1146,5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</w:t>
      </w:r>
      <w:r w:rsidR="00CC0241">
        <w:rPr>
          <w:color w:val="000000"/>
          <w:sz w:val="28"/>
          <w:szCs w:val="28"/>
        </w:rPr>
        <w:t>1046,5</w:t>
      </w:r>
      <w:r>
        <w:rPr>
          <w:color w:val="000000"/>
          <w:sz w:val="28"/>
          <w:szCs w:val="28"/>
        </w:rPr>
        <w:t xml:space="preserve"> тыс. рублей), на 2019 год – </w:t>
      </w:r>
      <w:r w:rsidR="00CC0241">
        <w:rPr>
          <w:color w:val="000000"/>
          <w:sz w:val="28"/>
          <w:szCs w:val="28"/>
        </w:rPr>
        <w:t>1911,2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</w:t>
      </w:r>
      <w:r w:rsidR="00CC0241">
        <w:rPr>
          <w:color w:val="000000"/>
          <w:sz w:val="28"/>
          <w:szCs w:val="28"/>
        </w:rPr>
        <w:t>1811,2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; на 2020 год </w:t>
      </w:r>
      <w:r>
        <w:rPr>
          <w:color w:val="000000"/>
          <w:sz w:val="28"/>
          <w:szCs w:val="28"/>
        </w:rPr>
        <w:t xml:space="preserve">– </w:t>
      </w:r>
      <w:r w:rsidR="004A01D1">
        <w:rPr>
          <w:color w:val="000000"/>
          <w:sz w:val="28"/>
          <w:szCs w:val="28"/>
        </w:rPr>
        <w:t>1967,6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</w:t>
      </w:r>
      <w:r w:rsidR="004A01D1">
        <w:rPr>
          <w:color w:val="000000"/>
          <w:sz w:val="28"/>
          <w:szCs w:val="28"/>
        </w:rPr>
        <w:t>1867,6</w:t>
      </w:r>
      <w:r>
        <w:rPr>
          <w:color w:val="000000"/>
          <w:sz w:val="28"/>
          <w:szCs w:val="28"/>
        </w:rPr>
        <w:t xml:space="preserve"> тыс. рублей)</w:t>
      </w:r>
      <w:r w:rsidRPr="00B11CFA">
        <w:rPr>
          <w:color w:val="000000"/>
          <w:sz w:val="28"/>
          <w:szCs w:val="28"/>
        </w:rPr>
        <w:t>. Таким образом, несоответствие бюджетных проектировок</w:t>
      </w:r>
      <w:r>
        <w:rPr>
          <w:color w:val="000000"/>
          <w:sz w:val="28"/>
          <w:szCs w:val="28"/>
        </w:rPr>
        <w:t xml:space="preserve"> в сторону 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>
        <w:rPr>
          <w:color w:val="000000"/>
          <w:sz w:val="28"/>
          <w:szCs w:val="28"/>
        </w:rPr>
        <w:t xml:space="preserve"> 100,0 тыс. рублей ежегодно.</w:t>
      </w:r>
    </w:p>
    <w:p w:rsidR="004A01D1" w:rsidRPr="004A01D1" w:rsidRDefault="004A01D1" w:rsidP="00B30209">
      <w:pPr>
        <w:pStyle w:val="af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4A01D1">
        <w:rPr>
          <w:color w:val="000000"/>
          <w:sz w:val="28"/>
          <w:szCs w:val="28"/>
        </w:rPr>
        <w:t>Пункт 12 изменить; объем межбюджетных трансфертов, предоставляемых бюджету Стародубского муниципального района на 2018 год  утвердить в сумме 5000,00 рублей (вместо 0,00 руб.), на 201</w:t>
      </w:r>
      <w:r>
        <w:rPr>
          <w:color w:val="000000"/>
          <w:sz w:val="28"/>
          <w:szCs w:val="28"/>
        </w:rPr>
        <w:t>9</w:t>
      </w:r>
      <w:r w:rsidRPr="004A01D1">
        <w:rPr>
          <w:color w:val="000000"/>
          <w:sz w:val="28"/>
          <w:szCs w:val="28"/>
        </w:rPr>
        <w:t xml:space="preserve"> год в сумме 5000,00 рублей</w:t>
      </w:r>
      <w:r>
        <w:rPr>
          <w:color w:val="000000"/>
          <w:sz w:val="28"/>
          <w:szCs w:val="28"/>
        </w:rPr>
        <w:t xml:space="preserve"> (вместо 0,00 руб.)</w:t>
      </w:r>
      <w:r w:rsidRPr="004A01D1">
        <w:rPr>
          <w:color w:val="000000"/>
          <w:sz w:val="28"/>
          <w:szCs w:val="28"/>
        </w:rPr>
        <w:t xml:space="preserve"> и на 20</w:t>
      </w:r>
      <w:r>
        <w:rPr>
          <w:color w:val="000000"/>
          <w:sz w:val="28"/>
          <w:szCs w:val="28"/>
        </w:rPr>
        <w:t>20</w:t>
      </w:r>
      <w:r w:rsidRPr="004A01D1">
        <w:rPr>
          <w:color w:val="000000"/>
          <w:sz w:val="28"/>
          <w:szCs w:val="28"/>
        </w:rPr>
        <w:t xml:space="preserve"> год в сумме 5000,00 рублей</w:t>
      </w:r>
      <w:r>
        <w:rPr>
          <w:color w:val="000000"/>
          <w:sz w:val="28"/>
          <w:szCs w:val="28"/>
        </w:rPr>
        <w:t xml:space="preserve"> (вместо 0,00 руб.)</w:t>
      </w:r>
      <w:r w:rsidRPr="004A01D1">
        <w:rPr>
          <w:color w:val="000000"/>
          <w:sz w:val="28"/>
          <w:szCs w:val="28"/>
        </w:rPr>
        <w:t xml:space="preserve"> (на переданные  полномочия  по осуществлению внешнего муниципального финансового контроля Контрольно-счетной палате Стародубского муниципального района).</w:t>
      </w:r>
      <w:proofErr w:type="gramEnd"/>
    </w:p>
    <w:p w:rsidR="00B30209" w:rsidRPr="004A01D1" w:rsidRDefault="00B30209" w:rsidP="00BC4DF1">
      <w:pPr>
        <w:pStyle w:val="af3"/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 w:rsidRPr="004A01D1">
        <w:rPr>
          <w:color w:val="000000"/>
          <w:sz w:val="28"/>
          <w:szCs w:val="28"/>
        </w:rPr>
        <w:t xml:space="preserve">пункт 20 необходимо  дополнить абзацем следующего содержания в соответствии с требованиями пункта 5 статьи 264.2 </w:t>
      </w:r>
      <w:r w:rsidRPr="004A01D1">
        <w:rPr>
          <w:color w:val="000000"/>
          <w:sz w:val="28"/>
          <w:szCs w:val="28"/>
        </w:rPr>
        <w:lastRenderedPageBreak/>
        <w:t xml:space="preserve">Бюджетного кодекса Российской Федерации: «Администрации </w:t>
      </w:r>
      <w:proofErr w:type="spellStart"/>
      <w:r w:rsidR="004A01D1" w:rsidRPr="004A01D1">
        <w:rPr>
          <w:color w:val="000000"/>
          <w:sz w:val="28"/>
          <w:szCs w:val="28"/>
        </w:rPr>
        <w:t>Мишковского</w:t>
      </w:r>
      <w:proofErr w:type="spellEnd"/>
      <w:r w:rsidRPr="004A01D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 w:rsidR="004A01D1" w:rsidRPr="004A01D1">
        <w:rPr>
          <w:color w:val="000000"/>
          <w:sz w:val="28"/>
          <w:szCs w:val="28"/>
        </w:rPr>
        <w:t>Мишковский</w:t>
      </w:r>
      <w:proofErr w:type="spellEnd"/>
      <w:r w:rsidRPr="004A01D1">
        <w:rPr>
          <w:color w:val="000000"/>
          <w:sz w:val="28"/>
          <w:szCs w:val="28"/>
        </w:rPr>
        <w:t xml:space="preserve"> сельский совет народных депутатов и </w:t>
      </w:r>
      <w:r w:rsidRPr="004A01D1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4A01D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 w:rsidR="004A01D1" w:rsidRPr="004A01D1">
        <w:rPr>
          <w:color w:val="000000"/>
          <w:sz w:val="28"/>
          <w:szCs w:val="28"/>
        </w:rPr>
        <w:t>Мишковского</w:t>
      </w:r>
      <w:proofErr w:type="spellEnd"/>
      <w:r w:rsidRPr="004A01D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E306AA" w:rsidRPr="004D11AB" w:rsidRDefault="004A01D1" w:rsidP="004A0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3020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9" w:history="1">
        <w:r w:rsidR="00B30209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81</w:t>
        </w:r>
      </w:hyperlink>
      <w:r w:rsidR="00B30209">
        <w:rPr>
          <w:rFonts w:ascii="Times New Roman" w:hAnsi="Times New Roman" w:cs="Times New Roman"/>
          <w:sz w:val="28"/>
          <w:szCs w:val="28"/>
        </w:rPr>
        <w:t xml:space="preserve"> БК РФ в расходной части бюджетов всех уровней бюджетной системы Российской Федерации </w:t>
      </w:r>
      <w:r w:rsidR="00B30209" w:rsidRPr="004A01D1">
        <w:rPr>
          <w:rFonts w:ascii="Times New Roman" w:hAnsi="Times New Roman" w:cs="Times New Roman"/>
          <w:b/>
          <w:sz w:val="28"/>
          <w:szCs w:val="28"/>
        </w:rPr>
        <w:t>предусматривается создание резервных фондов органов исполнительной власти и резервных фондов органов местного самоуправления.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нарушение вышеуказанных условий в проекте решения 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2018 год и на плановый период 2019 и 2020 годов, резервный фонд не создан.</w:t>
      </w:r>
    </w:p>
    <w:p w:rsidR="009C1BBD" w:rsidRDefault="004D11AB" w:rsidP="009C1B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C4DF1"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</w:t>
      </w:r>
      <w:r w:rsidR="00E306A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2017-2019 годы, что соответствует установленному периоду в ч.1 ст.173 Бюджетного кодекса РФ.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путем уточнения параметров планового периода и добавления параметров второго года  и планового периода 2017-2019 годы, при этом обоснование параметров, в том числе их сопоставление с ранее утвержденными параметрами, с указанием причин и факторов прогнозируемых изменений – необходимых требований к пояснительной записке, которые необходимо указывать в такой записке в соответствии с ч.4 ст.173 Бюджетного кодекса РФ</w:t>
      </w:r>
      <w:r w:rsid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прогнозе</w:t>
      </w:r>
      <w:proofErr w:type="gramEnd"/>
      <w:r w:rsid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Default="007645E5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Прогноза, по причине отсутствия обоснований, не увязаны с бюджетными проектировками в части объемов доходной части бюджета, в связи с чем, оценка соответствия внесенного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о бюджете по указанной части бюджета не может быть осуществлена на основании представленного Прогноза - надёжности показателей социально-экономического развития и реалистичности расчета доходов  бюджета в соответствии с принципом достоверности бюджета, установленным </w:t>
      </w:r>
      <w:hyperlink r:id="rId10" w:history="1">
        <w:r w:rsidRPr="00764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37</w:t>
        </w:r>
      </w:hyperlink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</w:t>
      </w:r>
      <w:proofErr w:type="gramEnd"/>
      <w:r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4A01D1" w:rsidRPr="004D11AB" w:rsidRDefault="004A01D1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E3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ишковского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4A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4A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4A0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EA2F25" w:rsidRPr="004D11AB" w:rsidRDefault="00EA2F25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№1, тыс. рублей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993"/>
        <w:gridCol w:w="992"/>
        <w:gridCol w:w="850"/>
        <w:gridCol w:w="993"/>
        <w:gridCol w:w="763"/>
        <w:gridCol w:w="821"/>
        <w:gridCol w:w="711"/>
        <w:gridCol w:w="821"/>
        <w:gridCol w:w="711"/>
      </w:tblGrid>
      <w:tr w:rsidR="004D11AB" w:rsidRPr="004D11AB" w:rsidTr="00BC78DE">
        <w:trPr>
          <w:trHeight w:val="255"/>
        </w:trPr>
        <w:tc>
          <w:tcPr>
            <w:tcW w:w="2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A01D1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4A0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4A0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65D14" w:rsidRPr="004D11AB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A01D1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4A0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A01D1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4A0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A01D1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4A01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1AB" w:rsidRPr="004D11AB" w:rsidTr="00BC78DE">
        <w:trPr>
          <w:trHeight w:val="1020"/>
        </w:trPr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4A0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A01D1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4A01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A01D1" w:rsidP="004A01D1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2020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4D11AB" w:rsidRPr="004D11AB" w:rsidTr="00BC78DE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всего,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2F25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033E8" w:rsidP="004E144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514,5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15DA1" w:rsidP="004E144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75E2">
              <w:rPr>
                <w:rFonts w:ascii="Times New Roman" w:eastAsia="Times New Roman" w:hAnsi="Times New Roman" w:cs="Times New Roman"/>
                <w:lang w:eastAsia="ru-RU"/>
              </w:rPr>
              <w:t>18,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6FA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D17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4D11AB" w:rsidRPr="004D11AB" w:rsidTr="00BC78DE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2F25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536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0575E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05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6FA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D17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4D11AB" w:rsidRPr="004D11AB" w:rsidTr="00BC78DE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2F25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E144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568,6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E144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6FA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D17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</w:tr>
      <w:tr w:rsidR="004D11AB" w:rsidRPr="004D11AB" w:rsidTr="00BC78DE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2F25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536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0575E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575E2">
              <w:rPr>
                <w:rFonts w:ascii="Times New Roman" w:eastAsia="Times New Roman" w:hAnsi="Times New Roman" w:cs="Times New Roman"/>
                <w:lang w:eastAsia="ru-RU"/>
              </w:rPr>
              <w:t>1588,9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6FA" w:rsidP="000575E2">
            <w:pPr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6FA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D17B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</w:tr>
      <w:tr w:rsidR="004D11AB" w:rsidRPr="004D11AB" w:rsidTr="00BC78DE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gramEnd"/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профицит)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A2F25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D5367" w:rsidP="004E144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4,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575E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7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7D17BF" w:rsidRPr="000E7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0E7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7D17BF">
        <w:rPr>
          <w:rFonts w:ascii="Times New Roman" w:eastAsia="Times New Roman" w:hAnsi="Times New Roman" w:cs="Times New Roman"/>
          <w:sz w:val="28"/>
          <w:szCs w:val="28"/>
          <w:lang w:eastAsia="ru-RU"/>
        </w:rPr>
        <w:t>2285,8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17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4E144C">
        <w:rPr>
          <w:rFonts w:ascii="Times New Roman" w:eastAsia="Times New Roman" w:hAnsi="Times New Roman" w:cs="Times New Roman"/>
          <w:sz w:val="28"/>
          <w:szCs w:val="28"/>
          <w:lang w:eastAsia="ru-RU"/>
        </w:rPr>
        <w:t>514,5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4E1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1239,3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1046,5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4E144C">
        <w:rPr>
          <w:rFonts w:ascii="Times New Roman" w:eastAsia="Times New Roman" w:hAnsi="Times New Roman" w:cs="Times New Roman"/>
          <w:sz w:val="28"/>
          <w:szCs w:val="28"/>
          <w:lang w:eastAsia="ru-RU"/>
        </w:rPr>
        <w:t>568,6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4E144C">
        <w:rPr>
          <w:rFonts w:ascii="Times New Roman" w:eastAsia="Times New Roman" w:hAnsi="Times New Roman" w:cs="Times New Roman"/>
          <w:sz w:val="28"/>
          <w:szCs w:val="28"/>
          <w:lang w:eastAsia="ru-RU"/>
        </w:rPr>
        <w:t>35,2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0E7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3073,9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34,5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1265,7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D52A3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1811,2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0E7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3152,1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1284,5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1867,6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F2F11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показателей доходной части бюджета в 201</w:t>
      </w:r>
      <w:r w:rsidR="005F2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5F2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№2, тыс. рублей</w:t>
      </w:r>
    </w:p>
    <w:tbl>
      <w:tblPr>
        <w:tblW w:w="9947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855"/>
        <w:gridCol w:w="846"/>
        <w:gridCol w:w="850"/>
        <w:gridCol w:w="851"/>
        <w:gridCol w:w="850"/>
        <w:gridCol w:w="851"/>
        <w:gridCol w:w="666"/>
        <w:gridCol w:w="666"/>
        <w:gridCol w:w="666"/>
      </w:tblGrid>
      <w:tr w:rsidR="004D11AB" w:rsidRPr="004D11AB" w:rsidTr="004D11AB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B72A5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37B" w:rsidRDefault="004D11AB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  <w:p w:rsidR="004D11AB" w:rsidRPr="004D11AB" w:rsidRDefault="004D11AB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8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Темп роста доходов, %</w:t>
            </w:r>
          </w:p>
        </w:tc>
      </w:tr>
      <w:tr w:rsidR="004D11AB" w:rsidRPr="004D11AB" w:rsidTr="004D11AB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 к б-ту 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4D11AB">
        <w:trPr>
          <w:trHeight w:val="10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F2F11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F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46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F2F1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3898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3898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4D11AB" w:rsidRPr="004D11AB" w:rsidTr="004D11AB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F2F1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974,8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3898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F4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4D11AB" w:rsidRPr="004D11AB" w:rsidTr="004D11AB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2242,7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C037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C037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C037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C037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1AB" w:rsidRPr="004D11AB" w:rsidTr="004D11AB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1879,5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E144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3898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F4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</w:tr>
      <w:tr w:rsidR="004D11AB" w:rsidRPr="004D11AB" w:rsidTr="004D11AB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5097,0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E144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-18,</w:t>
            </w:r>
            <w:r w:rsidR="004E1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20131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B3898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4F4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112,9</w:t>
            </w:r>
          </w:p>
        </w:tc>
      </w:tr>
    </w:tbl>
    <w:p w:rsidR="004D11AB" w:rsidRPr="004D11AB" w:rsidRDefault="004D11AB" w:rsidP="00284F4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 w:rsidR="00284F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 w:rsidR="00D3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284F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284F4B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4E1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284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 w:rsidR="00284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34,5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284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 w:rsidR="00284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284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2,5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 w:rsidR="00284F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7A0B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</w:t>
      </w:r>
      <w:r w:rsidR="00284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284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284F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284F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284F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84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284F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E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9E73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2800,3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2285,8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3073,9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47EBA" w:rsidP="00D92478">
            <w:pPr>
              <w:tabs>
                <w:tab w:val="center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="00D924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24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1239,0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30A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E144C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972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4E14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1046,5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A1B9A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2478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</w:tr>
    </w:tbl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D924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</w:t>
      </w:r>
      <w:r w:rsidR="00D92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4C">
        <w:rPr>
          <w:rFonts w:ascii="Times New Roman" w:eastAsia="Times New Roman" w:hAnsi="Times New Roman" w:cs="Times New Roman"/>
          <w:sz w:val="28"/>
          <w:szCs w:val="28"/>
          <w:lang w:eastAsia="ru-RU"/>
        </w:rPr>
        <w:t>54,2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D924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924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D924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3502D5">
        <w:rPr>
          <w:rFonts w:ascii="Times New Roman" w:eastAsia="Times New Roman" w:hAnsi="Times New Roman" w:cs="Times New Roman"/>
          <w:sz w:val="28"/>
          <w:szCs w:val="28"/>
          <w:lang w:eastAsia="ru-RU"/>
        </w:rPr>
        <w:t>45,8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удельного веса налоговых и неналоговых доходов бюджета в 201</w:t>
      </w:r>
      <w:r w:rsidR="003502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350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В прогнозируемом периоде доля налоговых и неналоговых доходов бюджета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502D5">
        <w:rPr>
          <w:rFonts w:ascii="Times New Roman" w:eastAsia="Times New Roman" w:hAnsi="Times New Roman" w:cs="Times New Roman"/>
          <w:sz w:val="28"/>
          <w:szCs w:val="28"/>
          <w:lang w:eastAsia="ru-RU"/>
        </w:rPr>
        <w:t>54,2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3502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3502D5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3502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Pr="004D11AB" w:rsidRDefault="004D11AB" w:rsidP="003502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350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3502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№4, тыс. рублей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850"/>
        <w:gridCol w:w="1134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9E733E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Первонач</w:t>
            </w:r>
            <w:r w:rsidR="009E7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юджет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4D11AB" w:rsidRPr="004D11AB" w:rsidTr="009E733E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9E733E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35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3502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E733E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502D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2C2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108,4</w:t>
            </w:r>
          </w:p>
        </w:tc>
      </w:tr>
      <w:tr w:rsidR="004D11AB" w:rsidRPr="004D11AB" w:rsidTr="009E733E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502D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32C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108,4</w:t>
            </w:r>
          </w:p>
        </w:tc>
      </w:tr>
      <w:tr w:rsidR="004D11AB" w:rsidRPr="004D11AB" w:rsidTr="009E733E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502D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112,5</w:t>
            </w:r>
          </w:p>
        </w:tc>
      </w:tr>
      <w:tr w:rsidR="004D11AB" w:rsidRPr="004D11AB" w:rsidTr="009E733E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502D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</w:t>
            </w:r>
          </w:p>
        </w:tc>
      </w:tr>
      <w:tr w:rsidR="004D11AB" w:rsidRPr="004D11AB" w:rsidTr="009E733E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502D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B4FB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50F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-30,2</w:t>
            </w:r>
          </w:p>
        </w:tc>
      </w:tr>
      <w:tr w:rsidR="004D11AB" w:rsidRPr="004D11AB" w:rsidTr="009E733E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502D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B4FB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50F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50F7" w:rsidP="00E70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E700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30,2</w:t>
            </w:r>
          </w:p>
        </w:tc>
      </w:tr>
      <w:tr w:rsidR="004D11AB" w:rsidRPr="004D11AB" w:rsidTr="009E733E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E733E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155,4</w:t>
            </w:r>
          </w:p>
        </w:tc>
      </w:tr>
      <w:tr w:rsidR="004D11AB" w:rsidRPr="004D11AB" w:rsidTr="009E733E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B4FB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</w:tr>
      <w:tr w:rsidR="004D11AB" w:rsidRPr="004D11AB" w:rsidTr="009E733E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75C7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13B2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004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64D46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145,3</w:t>
            </w:r>
          </w:p>
        </w:tc>
      </w:tr>
      <w:tr w:rsidR="007D11D7" w:rsidRPr="004D11AB" w:rsidTr="009E733E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7D11D7" w:rsidRPr="004D11AB" w:rsidTr="002F75C7">
        <w:trPr>
          <w:trHeight w:val="1031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2F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ОТ </w:t>
            </w:r>
            <w:r w:rsidR="002F7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2F75C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E490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102,2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 доходов бюджета на долю налога на доходы физических лиц в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соответственно 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</w:t>
      </w:r>
      <w:r w:rsid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(2%)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201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104,0</w:t>
      </w:r>
      <w:r w:rsidR="00264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109,0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105,1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104,8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плановому уровню бюджета 201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112,5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363,7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157,2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30,2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ниже уровня 201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363,7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6E20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29,3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31,0</w:t>
      </w:r>
      <w:r w:rsid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выше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доходов бюджета на долю налога на имущество физических лиц в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747,6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210,2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764,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780,8 тыс. рублей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972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 w:rsidRPr="004B3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B3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297277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7764C4">
        <w:rPr>
          <w:rFonts w:ascii="Times New Roman" w:hAnsi="Times New Roman" w:cs="Times New Roman"/>
          <w:sz w:val="28"/>
          <w:szCs w:val="28"/>
        </w:rPr>
        <w:t>61,7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2016 году 63,</w:t>
      </w:r>
      <w:r w:rsidR="007764C4">
        <w:rPr>
          <w:rFonts w:ascii="Times New Roman" w:hAnsi="Times New Roman" w:cs="Times New Roman"/>
          <w:sz w:val="28"/>
          <w:szCs w:val="28"/>
        </w:rPr>
        <w:t>5</w:t>
      </w:r>
      <w:r w:rsidRPr="004D11AB">
        <w:rPr>
          <w:rFonts w:ascii="Times New Roman" w:hAnsi="Times New Roman" w:cs="Times New Roman"/>
          <w:sz w:val="28"/>
          <w:szCs w:val="28"/>
        </w:rPr>
        <w:t xml:space="preserve">%, в 2017  году </w:t>
      </w:r>
      <w:r w:rsidR="007764C4">
        <w:rPr>
          <w:rFonts w:ascii="Times New Roman" w:hAnsi="Times New Roman" w:cs="Times New Roman"/>
          <w:sz w:val="28"/>
          <w:szCs w:val="28"/>
        </w:rPr>
        <w:t>65,1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29727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9727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№6, тыс. рублей</w:t>
      </w:r>
    </w:p>
    <w:tbl>
      <w:tblPr>
        <w:tblW w:w="10092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875"/>
        <w:gridCol w:w="753"/>
        <w:gridCol w:w="875"/>
        <w:gridCol w:w="740"/>
        <w:gridCol w:w="875"/>
        <w:gridCol w:w="849"/>
        <w:gridCol w:w="563"/>
        <w:gridCol w:w="851"/>
        <w:gridCol w:w="553"/>
        <w:gridCol w:w="30"/>
      </w:tblGrid>
      <w:tr w:rsidR="004D11AB" w:rsidRPr="004D11AB" w:rsidTr="00963203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9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97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9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Пер-во-нач.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97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9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97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9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297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29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2020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1879,5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97277" w:rsidRDefault="0029727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72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1615,1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1046,5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1811,2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E144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1867,6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457,0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963203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97277" w:rsidP="0029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963,8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364E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76CB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занимают 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DD76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7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49,2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DD76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 – 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71,2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DD76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72,7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имеют 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тенденцию,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данные запланированы в сумм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468,0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457,0 тыс. рублей и 443,0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запланированы на трехлетний период в сумме 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64,7 тыс. рублей и 67,1 тыс. рублей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r w:rsidR="008F2D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A6383">
        <w:rPr>
          <w:rFonts w:ascii="Times New Roman" w:eastAsia="Times New Roman" w:hAnsi="Times New Roman" w:cs="Times New Roman"/>
          <w:sz w:val="28"/>
          <w:szCs w:val="28"/>
          <w:lang w:eastAsia="ru-RU"/>
        </w:rPr>
        <w:t>2285,8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0E97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A6383">
        <w:rPr>
          <w:rFonts w:ascii="Times New Roman" w:eastAsia="Times New Roman" w:hAnsi="Times New Roman" w:cs="Times New Roman"/>
          <w:sz w:val="28"/>
          <w:szCs w:val="28"/>
          <w:lang w:eastAsia="ru-RU"/>
        </w:rPr>
        <w:t>3073,9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E97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2F3F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D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383">
        <w:rPr>
          <w:rFonts w:ascii="Times New Roman" w:eastAsia="Times New Roman" w:hAnsi="Times New Roman" w:cs="Times New Roman"/>
          <w:sz w:val="28"/>
          <w:szCs w:val="28"/>
          <w:lang w:eastAsia="ru-RU"/>
        </w:rPr>
        <w:t>3152,1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 w:rsidR="00C5241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2A63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2A63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 w:rsidR="005A2B1F"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r w:rsidR="00D0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Мишковского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5A2B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A2B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A2B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общегосударственные вопросы.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5A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5A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№8, тыс. рублей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A2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A2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A2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A2B1F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A2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A2B1F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A2B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BE4F2C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BE4F2C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1497,7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1535,7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FE2338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1284,2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1293,9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1293,9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4D11AB" w:rsidRPr="004D11AB" w:rsidTr="00BE4F2C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822E2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4D11AB" w:rsidRPr="004D11AB" w:rsidTr="00BE4F2C">
        <w:trPr>
          <w:trHeight w:val="591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БЕЗОПАС-НОСТЬ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ПРАВООХРАНИТЕЛЬ-НАЯ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D11AB" w:rsidRPr="004D11AB" w:rsidTr="00BE4F2C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AD1B67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9199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</w:tr>
      <w:tr w:rsidR="004D11AB" w:rsidRPr="004D11AB" w:rsidTr="00BE4F2C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9199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4D11AB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E91C09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C0A5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96FF8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96FF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9199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BE4F2C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D032B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6C0A5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E91C09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96FF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DD07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96FF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39199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4D11AB" w:rsidRPr="004D11AB" w:rsidTr="00BE4F2C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3874,7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2285,8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A2B1F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180D74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E91C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занимают расходы по  разделу 01 «Общегосударственные вопросы», объем которых составляет – </w:t>
      </w:r>
      <w:r w:rsidR="00E74CF2">
        <w:rPr>
          <w:rFonts w:ascii="Times New Roman" w:eastAsia="Times New Roman" w:hAnsi="Times New Roman" w:cs="Times New Roman"/>
          <w:sz w:val="28"/>
          <w:szCs w:val="28"/>
          <w:lang w:eastAsia="ru-RU"/>
        </w:rPr>
        <w:t>56,2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74CF2">
        <w:rPr>
          <w:rFonts w:ascii="Times New Roman" w:eastAsia="Times New Roman" w:hAnsi="Times New Roman" w:cs="Times New Roman"/>
          <w:sz w:val="28"/>
          <w:szCs w:val="28"/>
          <w:lang w:eastAsia="ru-RU"/>
        </w:rPr>
        <w:t>1284,2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180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180D74" w:rsidP="008C2E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E74C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расходы по разделу </w:t>
      </w:r>
      <w:r w:rsidR="0039199C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01 «Общегосударственные вопросы»</w:t>
      </w:r>
      <w:r w:rsidR="003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74CF2">
        <w:rPr>
          <w:rFonts w:ascii="Times New Roman" w:eastAsia="Times New Roman" w:hAnsi="Times New Roman" w:cs="Times New Roman"/>
          <w:sz w:val="28"/>
          <w:szCs w:val="28"/>
          <w:lang w:eastAsia="ru-RU"/>
        </w:rPr>
        <w:t>42,1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7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1293,9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рублей), 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«Национальная экономика»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1338,0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8C2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8C2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8C2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1284,2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1293,9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C2E51">
        <w:rPr>
          <w:rFonts w:ascii="Times New Roman" w:eastAsia="Times New Roman" w:hAnsi="Times New Roman" w:cs="Times New Roman"/>
          <w:sz w:val="28"/>
          <w:szCs w:val="28"/>
          <w:lang w:eastAsia="ru-RU"/>
        </w:rPr>
        <w:t>1293,9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Таблица№10, тыс. рублей</w:t>
      </w:r>
    </w:p>
    <w:tbl>
      <w:tblPr>
        <w:tblpPr w:leftFromText="171" w:rightFromText="171" w:vertAnchor="text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623"/>
        <w:gridCol w:w="737"/>
        <w:gridCol w:w="1198"/>
        <w:gridCol w:w="1198"/>
        <w:gridCol w:w="960"/>
        <w:gridCol w:w="1746"/>
        <w:gridCol w:w="16"/>
      </w:tblGrid>
      <w:tr w:rsidR="004D11AB" w:rsidRPr="004D11AB" w:rsidTr="006C0A5B">
        <w:trPr>
          <w:trHeight w:val="276"/>
        </w:trPr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C2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C2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C2E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8C2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/201</w:t>
            </w:r>
            <w:r w:rsidR="008C2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6C0A5B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6C0A5B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6C0A5B">
        <w:trPr>
          <w:trHeight w:val="285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1284,2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1293,9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1293,9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66B6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0,8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6C0A5B">
        <w:trPr>
          <w:trHeight w:val="442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6C0A5B">
        <w:trPr>
          <w:trHeight w:val="985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862,2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871,9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2E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871,9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66B64" w:rsidP="00E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6C0A5B">
        <w:trPr>
          <w:trHeight w:val="985"/>
        </w:trPr>
        <w:tc>
          <w:tcPr>
            <w:tcW w:w="3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6C0A5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E234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CC3" w:rsidRDefault="00817CC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766B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6C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практически неизменными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незначительное увеличение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расходов по подразделу 01 0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Функционирование </w:t>
      </w:r>
      <w:r w:rsidR="00E2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РФ, высших исполнительных органов государственной власти субъектов РФ, местных администраций</w:t>
      </w:r>
      <w:r w:rsidRPr="004D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</w:t>
      </w:r>
      <w:r w:rsidR="00E82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</w:t>
      </w:r>
      <w:r w:rsidRPr="004D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общем объеме расходов бюджета расходы раздела 01 «Общегосударственные вопросы» в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составят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56,2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расходы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уровнем бюджетных расходов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59,3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39199C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12,2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обеспечению пожарной безопасности по сравнению с уровнем бюджетных расходов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495,0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1270,0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1338,0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бюджетных расходов 201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E822E2">
        <w:rPr>
          <w:rFonts w:ascii="Times New Roman" w:eastAsia="Times New Roman" w:hAnsi="Times New Roman" w:cs="Times New Roman"/>
          <w:sz w:val="28"/>
          <w:szCs w:val="28"/>
          <w:lang w:eastAsia="ru-RU"/>
        </w:rPr>
        <w:t>409,3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85,7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120,9%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расходов по разделу национальная экономика в структуре бюджета в 201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74,9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C52418" w:rsidRDefault="004D11AB" w:rsidP="00864E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1035,8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91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64EFC">
        <w:rPr>
          <w:rFonts w:ascii="Times New Roman" w:eastAsia="Times New Roman" w:hAnsi="Times New Roman" w:cs="Times New Roman"/>
          <w:sz w:val="28"/>
          <w:szCs w:val="28"/>
          <w:lang w:eastAsia="ru-RU"/>
        </w:rPr>
        <w:t>в 14,8 раз.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Таблица№11, тыс. рублей</w:t>
      </w:r>
    </w:p>
    <w:tbl>
      <w:tblPr>
        <w:tblW w:w="9905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23"/>
        <w:gridCol w:w="737"/>
        <w:gridCol w:w="1198"/>
        <w:gridCol w:w="1198"/>
        <w:gridCol w:w="1418"/>
        <w:gridCol w:w="1746"/>
        <w:gridCol w:w="16"/>
      </w:tblGrid>
      <w:tr w:rsidR="004D11AB" w:rsidRPr="004D11AB" w:rsidTr="004D11AB">
        <w:trPr>
          <w:trHeight w:val="276"/>
        </w:trPr>
        <w:tc>
          <w:tcPr>
            <w:tcW w:w="5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864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64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864E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    год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64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86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/201</w:t>
            </w:r>
            <w:r w:rsidR="00864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C52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345"/>
        </w:trPr>
        <w:tc>
          <w:tcPr>
            <w:tcW w:w="5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64EF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3DC4" w:rsidP="00B6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="00B62D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6A4" w:rsidRPr="004D11AB" w:rsidTr="004D11AB">
        <w:trPr>
          <w:trHeight w:val="345"/>
        </w:trPr>
        <w:tc>
          <w:tcPr>
            <w:tcW w:w="5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6A4" w:rsidRPr="00D676A4" w:rsidRDefault="00D676A4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76A4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6A4" w:rsidRPr="00D676A4" w:rsidRDefault="00D676A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6A4" w:rsidRPr="00D676A4" w:rsidRDefault="00D676A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6A4" w:rsidRPr="00D676A4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6A4" w:rsidRPr="00D676A4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6A4" w:rsidRPr="00D676A4" w:rsidRDefault="003919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6A4" w:rsidRPr="00D676A4" w:rsidRDefault="0084629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" w:type="dxa"/>
            <w:vAlign w:val="center"/>
          </w:tcPr>
          <w:p w:rsidR="00D676A4" w:rsidRPr="004D11AB" w:rsidRDefault="00D676A4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300"/>
        </w:trPr>
        <w:tc>
          <w:tcPr>
            <w:tcW w:w="5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300"/>
        </w:trPr>
        <w:tc>
          <w:tcPr>
            <w:tcW w:w="5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62DA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298" w:rsidRDefault="0084629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13DC4" w:rsidRPr="004D11AB" w:rsidRDefault="00213DC4" w:rsidP="00213D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Отмечено отсутствие информации в пояснительной записке, обосновывающей снижение объема расходов в 201</w:t>
      </w:r>
      <w:r w:rsidR="00B62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213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по сравнению с 201</w:t>
      </w:r>
      <w:r w:rsidR="00B62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213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годом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300,0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13DC4">
        <w:rPr>
          <w:rFonts w:ascii="Times New Roman" w:eastAsia="Times New Roman" w:hAnsi="Times New Roman" w:cs="Times New Roman"/>
          <w:sz w:val="28"/>
          <w:szCs w:val="28"/>
          <w:lang w:eastAsia="ru-RU"/>
        </w:rPr>
        <w:t>300,0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13DC4">
        <w:rPr>
          <w:rFonts w:ascii="Times New Roman" w:eastAsia="Times New Roman" w:hAnsi="Times New Roman" w:cs="Times New Roman"/>
          <w:sz w:val="28"/>
          <w:szCs w:val="28"/>
          <w:lang w:eastAsia="ru-RU"/>
        </w:rPr>
        <w:t>300,0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 w:rsidR="00B62D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на 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356,0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54,3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 отсутствие информации в пояснительной записке, обосновывающей снижение объема расходов в 201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End"/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r w:rsidR="002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2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Мишковская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Pr="004D11AB" w:rsidRDefault="006A201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данным, бюджетные ассигнования в 201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D55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2D55A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2D55A8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r w:rsidR="00213DC4">
        <w:rPr>
          <w:rFonts w:ascii="Times New Roman" w:hAnsi="Times New Roman" w:cs="Times New Roman"/>
          <w:bCs/>
          <w:sz w:val="28"/>
          <w:szCs w:val="28"/>
        </w:rPr>
        <w:t>Мишковского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2D55A8">
        <w:rPr>
          <w:rFonts w:ascii="Times New Roman" w:hAnsi="Times New Roman" w:cs="Times New Roman"/>
          <w:sz w:val="28"/>
          <w:szCs w:val="28"/>
        </w:rPr>
        <w:t>8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2D55A8">
        <w:rPr>
          <w:rFonts w:ascii="Times New Roman" w:hAnsi="Times New Roman" w:cs="Times New Roman"/>
          <w:sz w:val="28"/>
          <w:szCs w:val="28"/>
        </w:rPr>
        <w:t>20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r w:rsidR="00213DC4">
        <w:rPr>
          <w:rFonts w:ascii="Times New Roman" w:hAnsi="Times New Roman" w:cs="Times New Roman"/>
          <w:sz w:val="28"/>
          <w:szCs w:val="28"/>
        </w:rPr>
        <w:t>Мишковского</w:t>
      </w:r>
      <w:r w:rsidR="006A2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5A8" w:rsidRDefault="002D55A8" w:rsidP="002D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Мишковского</w:t>
      </w:r>
      <w:proofErr w:type="spellEnd"/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2D55A8" w:rsidRPr="00A87ADB" w:rsidRDefault="002D55A8" w:rsidP="002D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A8" w:rsidRPr="00A87ADB" w:rsidRDefault="002D55A8" w:rsidP="002D5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5AD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ишковском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  постановлением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5AD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сельской администрации от </w:t>
      </w:r>
      <w:r w:rsidR="00AD5AD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5AD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5AD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55A8" w:rsidRPr="00A87ADB" w:rsidRDefault="002D55A8" w:rsidP="002D5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0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2D55A8" w:rsidRDefault="002D55A8" w:rsidP="002D5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20BDA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120BDA">
        <w:rPr>
          <w:rFonts w:ascii="Times New Roman" w:eastAsia="Times New Roman" w:hAnsi="Times New Roman" w:cs="Times New Roman"/>
          <w:sz w:val="28"/>
          <w:szCs w:val="28"/>
          <w:lang w:eastAsia="ru-RU"/>
        </w:rPr>
        <w:t>2285,8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 w:rsidR="00120BD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</w:t>
      </w:r>
      <w:r w:rsidR="00120BDA">
        <w:rPr>
          <w:rFonts w:ascii="Times New Roman" w:eastAsia="Times New Roman" w:hAnsi="Times New Roman" w:cs="Times New Roman"/>
          <w:sz w:val="28"/>
          <w:szCs w:val="28"/>
          <w:lang w:eastAsia="ru-RU"/>
        </w:rPr>
        <w:t>3073,9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120BDA">
        <w:rPr>
          <w:rFonts w:ascii="Times New Roman" w:eastAsia="Times New Roman" w:hAnsi="Times New Roman" w:cs="Times New Roman"/>
          <w:sz w:val="28"/>
          <w:szCs w:val="28"/>
          <w:lang w:eastAsia="ru-RU"/>
        </w:rPr>
        <w:t>3152,1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5A8" w:rsidRDefault="002D55A8" w:rsidP="002D5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отмечает, что в соответствии с письмом Министерства Финансов РФ от 30 сентября 2014г №09-05-05/48843, пунктом 18 Методических рекомендаций по составлению и исполнению бюджетов субъектов РФ и местных бюджетов на основе государственных (муниципальных) программ (далее – Методические рекомендации), указано, </w:t>
      </w:r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(муниципальных</w:t>
      </w:r>
      <w:proofErr w:type="gramEnd"/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государственных (муниципальных) программ не отражаются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невозможности установления высшим исполнительным органом государственной власти субъектов РФ (местной администрацией муниципального образования) целевых показателей (индикаторов) для таких органов. </w:t>
      </w:r>
    </w:p>
    <w:p w:rsidR="002D55A8" w:rsidRPr="004E6668" w:rsidRDefault="002D55A8" w:rsidP="002D55A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расходы на содержание главы сельского поселения (в 2018г – </w:t>
      </w:r>
      <w:r w:rsidR="0059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417,0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2019г – </w:t>
      </w:r>
      <w:r w:rsidR="0059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417,0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2020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9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417,0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рекомендаций, в</w:t>
      </w:r>
      <w:r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11" w:history="1">
        <w:r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</w:t>
      </w:r>
      <w:proofErr w:type="gramEnd"/>
      <w:r w:rsidRPr="004E666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1 июля 2013 г. N 65н.</w:t>
      </w:r>
    </w:p>
    <w:p w:rsidR="002D55A8" w:rsidRPr="00A87ADB" w:rsidRDefault="002D55A8" w:rsidP="002D5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A8" w:rsidRPr="004E6668" w:rsidRDefault="002D55A8" w:rsidP="002D55A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годы)» установлено отсутствие подпрограмм. Также паспортом определены 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2D55A8" w:rsidRPr="004E6668" w:rsidRDefault="002D55A8" w:rsidP="002D55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2D55A8" w:rsidRPr="004E6668" w:rsidRDefault="002D55A8" w:rsidP="002D55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в паспорте программы определен общий объем финансирования в сумме 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8511,8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2D55A8" w:rsidRPr="004E6668" w:rsidRDefault="002D55A8" w:rsidP="002D55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2018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2285,8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2D55A8" w:rsidRPr="004E6668" w:rsidRDefault="002D55A8" w:rsidP="002D55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2019 год – 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3073,9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2D55A8" w:rsidRDefault="002D55A8" w:rsidP="002D55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2020 год – 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3152,1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D55A8" w:rsidRPr="00C10608" w:rsidRDefault="002D55A8" w:rsidP="002D55A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 </w:t>
      </w:r>
      <w:proofErr w:type="spellStart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proofErr w:type="spellEnd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«д» п.10 Порядка, в паспорте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ресурсное обеспечение  определено без расшифровки по источникам финансирования.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Разделом 4 «Ресурсное обеспечение реализации муниципальной программы. Объемы и источники финансирования муниципальной программы»  также не определены источники финансирования.</w:t>
      </w:r>
    </w:p>
    <w:p w:rsidR="002D55A8" w:rsidRDefault="002D55A8" w:rsidP="002D55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6B2" w:rsidRPr="004E6668" w:rsidRDefault="005926B2" w:rsidP="005926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5926B2" w:rsidRPr="00741610" w:rsidRDefault="005926B2" w:rsidP="005926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 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уровне на весь период реализации, </w:t>
      </w:r>
      <w:r w:rsidR="00741610" w:rsidRPr="00741610">
        <w:rPr>
          <w:rFonts w:ascii="Times New Roman" w:hAnsi="Times New Roman" w:cs="Times New Roman"/>
          <w:sz w:val="28"/>
          <w:szCs w:val="28"/>
        </w:rPr>
        <w:t>что свидетельствует об отсутствии динамики их развития и не позволяет оценить степень их влияния на выполнение задачи муниципальной программы</w:t>
      </w:r>
      <w:r w:rsidRPr="00741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6B2" w:rsidRDefault="005926B2" w:rsidP="005926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5926B2" w:rsidRPr="00741610" w:rsidRDefault="00741610" w:rsidP="005926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некоторым мероприятиям п</w:t>
      </w:r>
      <w:r w:rsidR="00592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плановых бюджетных ассигнованиях,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зафиксированы на одном уровне, </w:t>
      </w:r>
      <w:r w:rsidRPr="00741610">
        <w:rPr>
          <w:rFonts w:ascii="Times New Roman" w:hAnsi="Times New Roman" w:cs="Times New Roman"/>
          <w:sz w:val="28"/>
          <w:szCs w:val="28"/>
        </w:rPr>
        <w:t xml:space="preserve">что не позволяет оценить степень их влияния на выполнения соответствующей задачи муниципальной </w:t>
      </w:r>
      <w:proofErr w:type="gramStart"/>
      <w:r w:rsidRPr="0074161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741610">
        <w:rPr>
          <w:rFonts w:ascii="Times New Roman" w:hAnsi="Times New Roman" w:cs="Times New Roman"/>
          <w:sz w:val="28"/>
          <w:szCs w:val="28"/>
        </w:rPr>
        <w:t xml:space="preserve"> и свидетельствует о недостаточной взаимосвязи оценки достижения результатов и осуществления расходов.</w:t>
      </w:r>
    </w:p>
    <w:p w:rsidR="005926B2" w:rsidRDefault="005926B2" w:rsidP="002D55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2D55A8" w:rsidP="00120B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настоящий момент, полноценная система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  <w:r w:rsidR="004D11AB"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10" w:rsidRDefault="0081352C" w:rsidP="00813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741610" w:rsidRPr="004D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4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61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не</w:t>
      </w:r>
      <w:r w:rsidR="0074161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  <w:r w:rsidRPr="00813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нарушении ст.184.2 Бюджетного Кодекса РФ, к проверке не представлены </w:t>
      </w:r>
      <w:r w:rsidRPr="0081352C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бюджета).</w:t>
      </w:r>
    </w:p>
    <w:p w:rsidR="007E1C6A" w:rsidRDefault="00741610" w:rsidP="007E1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изменения:</w:t>
      </w:r>
    </w:p>
    <w:p w:rsidR="007E1C6A" w:rsidRPr="00621C2E" w:rsidRDefault="007E1C6A" w:rsidP="007E1C6A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621C2E">
        <w:rPr>
          <w:sz w:val="28"/>
          <w:szCs w:val="28"/>
        </w:rPr>
        <w:t xml:space="preserve">пункт 7 проекта решения исключить, ввиду отсутствия на территории </w:t>
      </w:r>
      <w:proofErr w:type="spellStart"/>
      <w:r>
        <w:rPr>
          <w:sz w:val="28"/>
          <w:szCs w:val="28"/>
        </w:rPr>
        <w:t>Мишковского</w:t>
      </w:r>
      <w:proofErr w:type="spellEnd"/>
      <w:r w:rsidRPr="00621C2E">
        <w:rPr>
          <w:sz w:val="28"/>
          <w:szCs w:val="28"/>
        </w:rPr>
        <w:t xml:space="preserve"> сельского поселения муниципальных унитарных предприятий.</w:t>
      </w:r>
    </w:p>
    <w:p w:rsidR="007E1C6A" w:rsidRDefault="007E1C6A" w:rsidP="007E1C6A">
      <w:pPr>
        <w:pStyle w:val="af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11CFA">
        <w:rPr>
          <w:color w:val="000000"/>
          <w:sz w:val="28"/>
          <w:szCs w:val="28"/>
        </w:rPr>
        <w:t xml:space="preserve">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>
        <w:rPr>
          <w:color w:val="000000"/>
          <w:sz w:val="28"/>
          <w:szCs w:val="28"/>
        </w:rPr>
        <w:t>Мишковскому</w:t>
      </w:r>
      <w:proofErr w:type="spellEnd"/>
      <w:r w:rsidRPr="00B11CFA">
        <w:rPr>
          <w:color w:val="000000"/>
          <w:sz w:val="28"/>
          <w:szCs w:val="28"/>
        </w:rPr>
        <w:t xml:space="preserve"> сельскому поселению предусмотрены в следующих объемах: на 2018 год</w:t>
      </w:r>
      <w:r>
        <w:rPr>
          <w:color w:val="000000"/>
          <w:sz w:val="28"/>
          <w:szCs w:val="28"/>
        </w:rPr>
        <w:t xml:space="preserve"> –</w:t>
      </w:r>
      <w:r w:rsidRPr="00B11C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1146,5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1046,5 тыс. рублей), на 2019 год – 1911,2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1811,2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; на 2020 год </w:t>
      </w:r>
      <w:r>
        <w:rPr>
          <w:color w:val="000000"/>
          <w:sz w:val="28"/>
          <w:szCs w:val="28"/>
        </w:rPr>
        <w:t>– 1967,6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1867,6 тыс. рублей)</w:t>
      </w:r>
      <w:r w:rsidRPr="00B11CFA">
        <w:rPr>
          <w:color w:val="000000"/>
          <w:sz w:val="28"/>
          <w:szCs w:val="28"/>
        </w:rPr>
        <w:t>. Таким образом, несоответствие бюджетных проектировок</w:t>
      </w:r>
      <w:r>
        <w:rPr>
          <w:color w:val="000000"/>
          <w:sz w:val="28"/>
          <w:szCs w:val="28"/>
        </w:rPr>
        <w:t xml:space="preserve"> в сторону 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>
        <w:rPr>
          <w:color w:val="000000"/>
          <w:sz w:val="28"/>
          <w:szCs w:val="28"/>
        </w:rPr>
        <w:t xml:space="preserve"> 100,0 тыс. рублей ежегодно.</w:t>
      </w:r>
    </w:p>
    <w:p w:rsidR="007E1C6A" w:rsidRDefault="007E1C6A" w:rsidP="007E1C6A">
      <w:pPr>
        <w:pStyle w:val="af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gramStart"/>
      <w:r w:rsidRPr="004A01D1">
        <w:rPr>
          <w:color w:val="000000"/>
          <w:sz w:val="28"/>
          <w:szCs w:val="28"/>
        </w:rPr>
        <w:t>Пункт 12 изменить; объем межбюджетных трансфертов, предоставляемых бюджету Стародубского муниципального района на 2018 год  утвердить в сумме 5000,00 рублей (вместо 0,00 руб.), на 201</w:t>
      </w:r>
      <w:r>
        <w:rPr>
          <w:color w:val="000000"/>
          <w:sz w:val="28"/>
          <w:szCs w:val="28"/>
        </w:rPr>
        <w:t>9</w:t>
      </w:r>
      <w:r w:rsidRPr="004A01D1">
        <w:rPr>
          <w:color w:val="000000"/>
          <w:sz w:val="28"/>
          <w:szCs w:val="28"/>
        </w:rPr>
        <w:t xml:space="preserve"> год в сумме 5000,00 рублей</w:t>
      </w:r>
      <w:r>
        <w:rPr>
          <w:color w:val="000000"/>
          <w:sz w:val="28"/>
          <w:szCs w:val="28"/>
        </w:rPr>
        <w:t xml:space="preserve"> (вместо 0,00 руб.)</w:t>
      </w:r>
      <w:r w:rsidRPr="004A01D1">
        <w:rPr>
          <w:color w:val="000000"/>
          <w:sz w:val="28"/>
          <w:szCs w:val="28"/>
        </w:rPr>
        <w:t xml:space="preserve"> и на 20</w:t>
      </w:r>
      <w:r>
        <w:rPr>
          <w:color w:val="000000"/>
          <w:sz w:val="28"/>
          <w:szCs w:val="28"/>
        </w:rPr>
        <w:t>20</w:t>
      </w:r>
      <w:r w:rsidRPr="004A01D1">
        <w:rPr>
          <w:color w:val="000000"/>
          <w:sz w:val="28"/>
          <w:szCs w:val="28"/>
        </w:rPr>
        <w:t xml:space="preserve"> год в сумме 5000,00 рублей</w:t>
      </w:r>
      <w:r>
        <w:rPr>
          <w:color w:val="000000"/>
          <w:sz w:val="28"/>
          <w:szCs w:val="28"/>
        </w:rPr>
        <w:t xml:space="preserve"> (вместо 0,00 руб.)</w:t>
      </w:r>
      <w:r w:rsidRPr="004A01D1">
        <w:rPr>
          <w:color w:val="000000"/>
          <w:sz w:val="28"/>
          <w:szCs w:val="28"/>
        </w:rPr>
        <w:t xml:space="preserve"> (на переданные  полномочия  по осуществлению внешнего муниципального финансового контроля Контрольно-счетной палате Стародубского муниципального района).</w:t>
      </w:r>
      <w:proofErr w:type="gramEnd"/>
    </w:p>
    <w:p w:rsidR="007E1C6A" w:rsidRPr="007E1C6A" w:rsidRDefault="007E1C6A" w:rsidP="007E1C6A">
      <w:pPr>
        <w:pStyle w:val="af3"/>
        <w:numPr>
          <w:ilvl w:val="0"/>
          <w:numId w:val="5"/>
        </w:numPr>
        <w:ind w:hanging="359"/>
        <w:jc w:val="both"/>
        <w:rPr>
          <w:sz w:val="28"/>
          <w:szCs w:val="28"/>
        </w:rPr>
      </w:pPr>
      <w:r w:rsidRPr="004A01D1">
        <w:rPr>
          <w:color w:val="000000"/>
          <w:sz w:val="28"/>
          <w:szCs w:val="28"/>
        </w:rPr>
        <w:t xml:space="preserve">пункт 20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 w:rsidRPr="004A01D1">
        <w:rPr>
          <w:color w:val="000000"/>
          <w:sz w:val="28"/>
          <w:szCs w:val="28"/>
        </w:rPr>
        <w:t>Мишковского</w:t>
      </w:r>
      <w:proofErr w:type="spellEnd"/>
      <w:r w:rsidRPr="004A01D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 w:rsidRPr="004A01D1">
        <w:rPr>
          <w:color w:val="000000"/>
          <w:sz w:val="28"/>
          <w:szCs w:val="28"/>
        </w:rPr>
        <w:t>Мишковский</w:t>
      </w:r>
      <w:proofErr w:type="spellEnd"/>
      <w:r w:rsidRPr="004A01D1">
        <w:rPr>
          <w:color w:val="000000"/>
          <w:sz w:val="28"/>
          <w:szCs w:val="28"/>
        </w:rPr>
        <w:t xml:space="preserve"> сельский совет народных депутатов и </w:t>
      </w:r>
      <w:r w:rsidRPr="007E1C6A">
        <w:rPr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4A01D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 w:rsidRPr="004A01D1">
        <w:rPr>
          <w:color w:val="000000"/>
          <w:sz w:val="28"/>
          <w:szCs w:val="28"/>
        </w:rPr>
        <w:t>Мишковского</w:t>
      </w:r>
      <w:proofErr w:type="spellEnd"/>
      <w:r w:rsidRPr="004A01D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7E1C6A" w:rsidRPr="007E1C6A" w:rsidRDefault="007E1C6A" w:rsidP="007E1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БК РФ в расходной части бюджетов всех уровней бюджетной системы Российской Федерации </w:t>
      </w:r>
      <w:r w:rsidRPr="007E1C6A">
        <w:rPr>
          <w:rFonts w:ascii="Times New Roman" w:hAnsi="Times New Roman" w:cs="Times New Roman"/>
          <w:sz w:val="28"/>
          <w:szCs w:val="28"/>
        </w:rPr>
        <w:t xml:space="preserve">предусматривается создание резервных фондов органов исполнительной власти и резервных фондов органов местного самоуправления. В нарушение вышеуказанных условий в проекте решения о бюджете </w:t>
      </w:r>
      <w:proofErr w:type="spellStart"/>
      <w:r w:rsidRPr="007E1C6A">
        <w:rPr>
          <w:rFonts w:ascii="Times New Roman" w:hAnsi="Times New Roman" w:cs="Times New Roman"/>
          <w:sz w:val="28"/>
          <w:szCs w:val="28"/>
        </w:rPr>
        <w:t>Мишковского</w:t>
      </w:r>
      <w:proofErr w:type="spellEnd"/>
      <w:r w:rsidRPr="007E1C6A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 и на плановый период 2019 и 2020 годов, резервный фонд не создан.</w:t>
      </w:r>
    </w:p>
    <w:p w:rsidR="007E1C6A" w:rsidRPr="004A01D1" w:rsidRDefault="007E1C6A" w:rsidP="007E1C6A">
      <w:pPr>
        <w:pStyle w:val="af3"/>
        <w:ind w:left="1068"/>
        <w:jc w:val="both"/>
        <w:rPr>
          <w:sz w:val="28"/>
          <w:szCs w:val="28"/>
        </w:rPr>
      </w:pPr>
    </w:p>
    <w:p w:rsidR="007E1C6A" w:rsidRPr="004D11AB" w:rsidRDefault="00741610" w:rsidP="007E1C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1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</w:t>
      </w:r>
      <w:r w:rsidR="007E1C6A" w:rsidRPr="007E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2018 год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2285,8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514,5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</w:p>
    <w:p w:rsidR="007E1C6A" w:rsidRPr="004D11AB" w:rsidRDefault="007E1C6A" w:rsidP="007E1C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1046,5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568,6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7E1C6A" w:rsidRPr="004D11AB" w:rsidRDefault="007E1C6A" w:rsidP="007E1C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7E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7E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E1C6A" w:rsidRPr="004D11AB" w:rsidRDefault="007E1C6A" w:rsidP="007E1C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1811,2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7E1C6A" w:rsidRDefault="007E1C6A" w:rsidP="007E1C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7E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7E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3152,1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2,5%.</w:t>
      </w:r>
    </w:p>
    <w:p w:rsidR="007E1C6A" w:rsidRPr="004D11AB" w:rsidRDefault="007E1C6A" w:rsidP="007E1C6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1284,5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1867,6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741610" w:rsidRDefault="00741610" w:rsidP="007E1C6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первоначально утвержденного бюджета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33,6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 года, в 2020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2,7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E1C6A" w:rsidRPr="004D11AB" w:rsidRDefault="00741610" w:rsidP="007E1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Мишковского</w:t>
      </w:r>
      <w:proofErr w:type="spellEnd"/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E1C6A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7E1C6A" w:rsidRPr="004D11AB" w:rsidRDefault="007E1C6A" w:rsidP="007E1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2285,8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E1C6A" w:rsidRDefault="007E1C6A" w:rsidP="007E1C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3073,9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C6A" w:rsidRDefault="007E1C6A" w:rsidP="007E1C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3152,1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C6A" w:rsidRPr="004D11AB" w:rsidRDefault="007E1C6A" w:rsidP="007E1C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B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7E1C6A" w:rsidRPr="004D11AB" w:rsidRDefault="007E1C6A" w:rsidP="007E1C6A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общегосударственные вопросы.</w:t>
      </w:r>
    </w:p>
    <w:p w:rsidR="00741610" w:rsidRDefault="00741610" w:rsidP="007E1C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представленным данным, бюджетные ассигнования в 2018-2020 годы распределены по программным и 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741610" w:rsidRPr="004A4CE1" w:rsidRDefault="00741610" w:rsidP="007416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 xml:space="preserve">8-2020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 w:rsidR="007E1C6A">
        <w:rPr>
          <w:rFonts w:ascii="Times New Roman" w:hAnsi="Times New Roman" w:cs="Times New Roman"/>
          <w:bCs/>
          <w:sz w:val="28"/>
          <w:szCs w:val="28"/>
        </w:rPr>
        <w:t>Мишковского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-2020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741610" w:rsidRDefault="00741610" w:rsidP="007416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7E1C6A">
        <w:rPr>
          <w:rFonts w:ascii="Times New Roman" w:hAnsi="Times New Roman" w:cs="Times New Roman"/>
          <w:sz w:val="28"/>
          <w:szCs w:val="28"/>
        </w:rPr>
        <w:t>Мишковского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610" w:rsidRPr="00E207B0" w:rsidRDefault="00741610" w:rsidP="00741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207B0">
        <w:rPr>
          <w:rFonts w:ascii="Times New Roman" w:hAnsi="Times New Roman" w:cs="Times New Roman"/>
          <w:sz w:val="28"/>
          <w:szCs w:val="28"/>
        </w:rPr>
        <w:t>.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</w:t>
      </w:r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41610" w:rsidRPr="00A87ADB" w:rsidRDefault="00741610" w:rsidP="00741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741610" w:rsidRPr="00E207B0" w:rsidRDefault="00741610" w:rsidP="0074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главы сельского поселения 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2018г –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417,0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2019г –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>417,0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</w:t>
      </w:r>
      <w:r w:rsidR="007E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417,0 </w:t>
      </w:r>
      <w:r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E207B0">
        <w:rPr>
          <w:rFonts w:ascii="Times New Roman" w:hAnsi="Times New Roman" w:cs="Times New Roman"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</w:t>
      </w:r>
      <w:proofErr w:type="gramEnd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п.18 Методических рекомендаций, в</w:t>
      </w:r>
      <w:r w:rsidRPr="00E207B0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3" w:history="1">
        <w:r w:rsidRPr="00E207B0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Pr="00E207B0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 Российской Федерации от 1 июля 2013 г. N 65н.</w:t>
      </w:r>
    </w:p>
    <w:p w:rsidR="00741610" w:rsidRPr="009F69D1" w:rsidRDefault="00741610" w:rsidP="0074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C033D">
        <w:rPr>
          <w:rFonts w:ascii="Times New Roman" w:hAnsi="Times New Roman" w:cs="Times New Roman"/>
          <w:b/>
          <w:sz w:val="28"/>
          <w:szCs w:val="28"/>
        </w:rPr>
        <w:t>.</w:t>
      </w:r>
      <w:r w:rsidRPr="00E207B0">
        <w:t xml:space="preserve"> </w:t>
      </w:r>
      <w:r w:rsidRPr="009F69D1">
        <w:rPr>
          <w:rFonts w:ascii="Times New Roman" w:hAnsi="Times New Roman" w:cs="Times New Roman"/>
          <w:sz w:val="28"/>
          <w:szCs w:val="28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7E1C6A" w:rsidRPr="004E6668" w:rsidRDefault="007E1C6A" w:rsidP="007E1C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7E1C6A" w:rsidRPr="00741610" w:rsidRDefault="007E1C6A" w:rsidP="007E1C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 значени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уровне на весь период реализации, </w:t>
      </w:r>
      <w:r w:rsidRPr="00741610">
        <w:rPr>
          <w:rFonts w:ascii="Times New Roman" w:hAnsi="Times New Roman" w:cs="Times New Roman"/>
          <w:sz w:val="28"/>
          <w:szCs w:val="28"/>
        </w:rPr>
        <w:t>что свидетельствует об отсутствии динамики их развития и не позволяет оценить степень их влияния на выполнение задачи муниципальной программы</w:t>
      </w:r>
      <w:r w:rsidRPr="00741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C6A" w:rsidRDefault="007E1C6A" w:rsidP="007E1C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7E1C6A" w:rsidRPr="00741610" w:rsidRDefault="007E1C6A" w:rsidP="007E1C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некоторым мероприятиям при разных плановых бюджетных ассигнованиях,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зафиксированы на одном уровне, </w:t>
      </w:r>
      <w:r w:rsidRPr="00741610">
        <w:rPr>
          <w:rFonts w:ascii="Times New Roman" w:hAnsi="Times New Roman" w:cs="Times New Roman"/>
          <w:sz w:val="28"/>
          <w:szCs w:val="28"/>
        </w:rPr>
        <w:t xml:space="preserve">что не позволяет оценить степень их влияния на выполнения соответствующей задачи муниципальной </w:t>
      </w:r>
      <w:proofErr w:type="gramStart"/>
      <w:r w:rsidRPr="0074161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741610">
        <w:rPr>
          <w:rFonts w:ascii="Times New Roman" w:hAnsi="Times New Roman" w:cs="Times New Roman"/>
          <w:sz w:val="28"/>
          <w:szCs w:val="28"/>
        </w:rPr>
        <w:t xml:space="preserve"> и свидетельствует о недостаточной взаимосвязи оценки достижения результатов и осуществления расходов.</w:t>
      </w:r>
    </w:p>
    <w:p w:rsidR="00741610" w:rsidRDefault="00741610" w:rsidP="00741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610" w:rsidRPr="00D2783C" w:rsidRDefault="00741610" w:rsidP="007416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741610" w:rsidRPr="004D11AB" w:rsidRDefault="00741610" w:rsidP="00741610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610" w:rsidRDefault="00741610" w:rsidP="007416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41610" w:rsidRDefault="00741610" w:rsidP="007416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7E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Мишковскому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proofErr w:type="spellStart"/>
      <w:r w:rsidR="007E1C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Мишковского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741610" w:rsidRDefault="00741610" w:rsidP="0074161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741610" w:rsidRPr="00D2783C" w:rsidRDefault="00741610" w:rsidP="0074161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741610" w:rsidRDefault="00741610" w:rsidP="007416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36C2" w:rsidRPr="00D2783C" w:rsidRDefault="004436C2" w:rsidP="00A0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921" w:rsidRPr="00D2783C" w:rsidRDefault="00A05921" w:rsidP="00A0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5921" w:rsidRDefault="00A05921" w:rsidP="00A0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A05921" w:rsidRDefault="00A05921" w:rsidP="00A0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A05921" w:rsidRPr="004D11AB" w:rsidRDefault="00A05921" w:rsidP="00A05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921" w:rsidRPr="002171F5" w:rsidRDefault="00A05921" w:rsidP="00A059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gramEnd"/>
      <w:r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A05921" w:rsidRDefault="00A05921" w:rsidP="00A0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21" w:rsidRDefault="00A05921" w:rsidP="00A0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3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ишковской</w:t>
      </w:r>
      <w:proofErr w:type="spellEnd"/>
      <w:r w:rsidR="0044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5921" w:rsidRDefault="00A05921" w:rsidP="00A059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      </w:t>
      </w:r>
      <w:proofErr w:type="spellStart"/>
      <w:r w:rsidR="004436C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Н.И.Рыжик</w:t>
      </w:r>
      <w:proofErr w:type="spellEnd"/>
    </w:p>
    <w:p w:rsidR="004D11AB" w:rsidRPr="004D11AB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hd w:val="clear" w:color="auto" w:fill="FFFFFF"/>
        <w:spacing w:before="5" w:after="0"/>
        <w:ind w:left="5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66E51" w:rsidRDefault="00466E51"/>
    <w:sectPr w:rsidR="00466E51" w:rsidSect="00BD788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B7" w:rsidRDefault="00C055B7" w:rsidP="00BD7885">
      <w:pPr>
        <w:spacing w:after="0" w:line="240" w:lineRule="auto"/>
      </w:pPr>
      <w:r>
        <w:separator/>
      </w:r>
    </w:p>
  </w:endnote>
  <w:endnote w:type="continuationSeparator" w:id="0">
    <w:p w:rsidR="00C055B7" w:rsidRDefault="00C055B7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B7" w:rsidRDefault="00C055B7" w:rsidP="00BD7885">
      <w:pPr>
        <w:spacing w:after="0" w:line="240" w:lineRule="auto"/>
      </w:pPr>
      <w:r>
        <w:separator/>
      </w:r>
    </w:p>
  </w:footnote>
  <w:footnote w:type="continuationSeparator" w:id="0">
    <w:p w:rsidR="00C055B7" w:rsidRDefault="00C055B7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EndPr/>
    <w:sdtContent>
      <w:p w:rsidR="00B84670" w:rsidRDefault="00B846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73">
          <w:rPr>
            <w:noProof/>
          </w:rPr>
          <w:t>5</w:t>
        </w:r>
        <w:r>
          <w:fldChar w:fldCharType="end"/>
        </w:r>
      </w:p>
    </w:sdtContent>
  </w:sdt>
  <w:p w:rsidR="00B84670" w:rsidRDefault="00B846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681A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F046A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D22D51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F259D2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646893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27BA1"/>
    <w:rsid w:val="00030396"/>
    <w:rsid w:val="000304ED"/>
    <w:rsid w:val="00040686"/>
    <w:rsid w:val="00043419"/>
    <w:rsid w:val="0004366B"/>
    <w:rsid w:val="00043FC3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F52"/>
    <w:rsid w:val="000561AA"/>
    <w:rsid w:val="0005665A"/>
    <w:rsid w:val="000575E2"/>
    <w:rsid w:val="0006301E"/>
    <w:rsid w:val="000647BB"/>
    <w:rsid w:val="000653F3"/>
    <w:rsid w:val="00066DDF"/>
    <w:rsid w:val="00066F04"/>
    <w:rsid w:val="0006769B"/>
    <w:rsid w:val="000738B2"/>
    <w:rsid w:val="00074524"/>
    <w:rsid w:val="0007468D"/>
    <w:rsid w:val="00074A0F"/>
    <w:rsid w:val="00077902"/>
    <w:rsid w:val="000849FE"/>
    <w:rsid w:val="00086BB3"/>
    <w:rsid w:val="000933CB"/>
    <w:rsid w:val="000956E8"/>
    <w:rsid w:val="00096FF8"/>
    <w:rsid w:val="000A5DE2"/>
    <w:rsid w:val="000B280A"/>
    <w:rsid w:val="000B6664"/>
    <w:rsid w:val="000C0315"/>
    <w:rsid w:val="000C21B3"/>
    <w:rsid w:val="000C2C6B"/>
    <w:rsid w:val="000C582C"/>
    <w:rsid w:val="000C679B"/>
    <w:rsid w:val="000D1581"/>
    <w:rsid w:val="000D1807"/>
    <w:rsid w:val="000D24DA"/>
    <w:rsid w:val="000E1C73"/>
    <w:rsid w:val="000E298B"/>
    <w:rsid w:val="000E390B"/>
    <w:rsid w:val="000E3F3A"/>
    <w:rsid w:val="000E43B0"/>
    <w:rsid w:val="000E50F7"/>
    <w:rsid w:val="000E5873"/>
    <w:rsid w:val="000E649B"/>
    <w:rsid w:val="000E792B"/>
    <w:rsid w:val="000E7EB2"/>
    <w:rsid w:val="000F1E39"/>
    <w:rsid w:val="000F6F43"/>
    <w:rsid w:val="000F7611"/>
    <w:rsid w:val="000F7C50"/>
    <w:rsid w:val="00101332"/>
    <w:rsid w:val="001033E8"/>
    <w:rsid w:val="00104C88"/>
    <w:rsid w:val="00105DE8"/>
    <w:rsid w:val="001068F7"/>
    <w:rsid w:val="001103BE"/>
    <w:rsid w:val="00110F36"/>
    <w:rsid w:val="001144CE"/>
    <w:rsid w:val="00115756"/>
    <w:rsid w:val="00120BDA"/>
    <w:rsid w:val="00131E2B"/>
    <w:rsid w:val="0013252C"/>
    <w:rsid w:val="00134D93"/>
    <w:rsid w:val="00137D3D"/>
    <w:rsid w:val="00137E74"/>
    <w:rsid w:val="001472EC"/>
    <w:rsid w:val="00147BB1"/>
    <w:rsid w:val="00152B58"/>
    <w:rsid w:val="0015489A"/>
    <w:rsid w:val="00156A6C"/>
    <w:rsid w:val="001607F3"/>
    <w:rsid w:val="00166ED1"/>
    <w:rsid w:val="001724B5"/>
    <w:rsid w:val="00172EE8"/>
    <w:rsid w:val="0017704A"/>
    <w:rsid w:val="00180D74"/>
    <w:rsid w:val="0018345C"/>
    <w:rsid w:val="001841C0"/>
    <w:rsid w:val="00184C41"/>
    <w:rsid w:val="00186326"/>
    <w:rsid w:val="00186B70"/>
    <w:rsid w:val="00190625"/>
    <w:rsid w:val="00191367"/>
    <w:rsid w:val="00192B72"/>
    <w:rsid w:val="0019531C"/>
    <w:rsid w:val="00195FDD"/>
    <w:rsid w:val="00196E27"/>
    <w:rsid w:val="0019727A"/>
    <w:rsid w:val="001A0B97"/>
    <w:rsid w:val="001A1236"/>
    <w:rsid w:val="001A44D9"/>
    <w:rsid w:val="001A48AF"/>
    <w:rsid w:val="001A5752"/>
    <w:rsid w:val="001B11E2"/>
    <w:rsid w:val="001B1B80"/>
    <w:rsid w:val="001B1CE4"/>
    <w:rsid w:val="001B40E2"/>
    <w:rsid w:val="001B4FBC"/>
    <w:rsid w:val="001B519F"/>
    <w:rsid w:val="001C3DC0"/>
    <w:rsid w:val="001C48D7"/>
    <w:rsid w:val="001C5D84"/>
    <w:rsid w:val="001C6D6D"/>
    <w:rsid w:val="001D0C09"/>
    <w:rsid w:val="001D11B8"/>
    <w:rsid w:val="001D11F2"/>
    <w:rsid w:val="001D1C98"/>
    <w:rsid w:val="001D4E00"/>
    <w:rsid w:val="001E03D1"/>
    <w:rsid w:val="001E061E"/>
    <w:rsid w:val="001E068C"/>
    <w:rsid w:val="001E4903"/>
    <w:rsid w:val="001E5868"/>
    <w:rsid w:val="001E604D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7173"/>
    <w:rsid w:val="00211C7A"/>
    <w:rsid w:val="00212895"/>
    <w:rsid w:val="00213788"/>
    <w:rsid w:val="00213DC4"/>
    <w:rsid w:val="002159EE"/>
    <w:rsid w:val="00215BE9"/>
    <w:rsid w:val="00216BBC"/>
    <w:rsid w:val="00217B0C"/>
    <w:rsid w:val="00220618"/>
    <w:rsid w:val="00220DD4"/>
    <w:rsid w:val="0022102A"/>
    <w:rsid w:val="00224CA6"/>
    <w:rsid w:val="0022548E"/>
    <w:rsid w:val="00227B4D"/>
    <w:rsid w:val="002303F1"/>
    <w:rsid w:val="00230ACF"/>
    <w:rsid w:val="00231A2D"/>
    <w:rsid w:val="00233AF8"/>
    <w:rsid w:val="00236F7A"/>
    <w:rsid w:val="0024100F"/>
    <w:rsid w:val="002412F5"/>
    <w:rsid w:val="00242BE4"/>
    <w:rsid w:val="002442DD"/>
    <w:rsid w:val="002451EB"/>
    <w:rsid w:val="002456EF"/>
    <w:rsid w:val="00247E87"/>
    <w:rsid w:val="00247EBA"/>
    <w:rsid w:val="00250617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4D46"/>
    <w:rsid w:val="00266067"/>
    <w:rsid w:val="0026636F"/>
    <w:rsid w:val="00266525"/>
    <w:rsid w:val="00274790"/>
    <w:rsid w:val="00274991"/>
    <w:rsid w:val="002810E6"/>
    <w:rsid w:val="00284F4B"/>
    <w:rsid w:val="00286243"/>
    <w:rsid w:val="00286DFC"/>
    <w:rsid w:val="002876AA"/>
    <w:rsid w:val="0029026E"/>
    <w:rsid w:val="002906EB"/>
    <w:rsid w:val="00297277"/>
    <w:rsid w:val="002A1AB8"/>
    <w:rsid w:val="002A2447"/>
    <w:rsid w:val="002A2919"/>
    <w:rsid w:val="002A40E6"/>
    <w:rsid w:val="002A44DA"/>
    <w:rsid w:val="002A4AAC"/>
    <w:rsid w:val="002A6383"/>
    <w:rsid w:val="002A63BF"/>
    <w:rsid w:val="002A77A2"/>
    <w:rsid w:val="002B0996"/>
    <w:rsid w:val="002B0CDA"/>
    <w:rsid w:val="002B124B"/>
    <w:rsid w:val="002B20D3"/>
    <w:rsid w:val="002B23E9"/>
    <w:rsid w:val="002B399A"/>
    <w:rsid w:val="002B4878"/>
    <w:rsid w:val="002B4985"/>
    <w:rsid w:val="002B4A93"/>
    <w:rsid w:val="002B4DEC"/>
    <w:rsid w:val="002C0542"/>
    <w:rsid w:val="002C0DD6"/>
    <w:rsid w:val="002C459F"/>
    <w:rsid w:val="002C4EA7"/>
    <w:rsid w:val="002C56E2"/>
    <w:rsid w:val="002C67E3"/>
    <w:rsid w:val="002D26D4"/>
    <w:rsid w:val="002D2A11"/>
    <w:rsid w:val="002D2ED8"/>
    <w:rsid w:val="002D37DC"/>
    <w:rsid w:val="002D4BC4"/>
    <w:rsid w:val="002D5556"/>
    <w:rsid w:val="002D55A8"/>
    <w:rsid w:val="002D757E"/>
    <w:rsid w:val="002D774C"/>
    <w:rsid w:val="002E1F0C"/>
    <w:rsid w:val="002E2A73"/>
    <w:rsid w:val="002E3E07"/>
    <w:rsid w:val="002E3F3F"/>
    <w:rsid w:val="002E560D"/>
    <w:rsid w:val="002E77EA"/>
    <w:rsid w:val="002F3F9E"/>
    <w:rsid w:val="002F5A05"/>
    <w:rsid w:val="002F6A45"/>
    <w:rsid w:val="002F746B"/>
    <w:rsid w:val="002F75C7"/>
    <w:rsid w:val="0030141E"/>
    <w:rsid w:val="00301E7A"/>
    <w:rsid w:val="00304C77"/>
    <w:rsid w:val="0030667E"/>
    <w:rsid w:val="0030679C"/>
    <w:rsid w:val="00310DD9"/>
    <w:rsid w:val="00310F93"/>
    <w:rsid w:val="00312281"/>
    <w:rsid w:val="0031431B"/>
    <w:rsid w:val="00316183"/>
    <w:rsid w:val="00316CC5"/>
    <w:rsid w:val="003177DB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2275"/>
    <w:rsid w:val="00343AFB"/>
    <w:rsid w:val="00345315"/>
    <w:rsid w:val="003477CC"/>
    <w:rsid w:val="003502D5"/>
    <w:rsid w:val="00351C73"/>
    <w:rsid w:val="00351D3D"/>
    <w:rsid w:val="00352BCA"/>
    <w:rsid w:val="0035435E"/>
    <w:rsid w:val="00354610"/>
    <w:rsid w:val="00356EE4"/>
    <w:rsid w:val="003604FA"/>
    <w:rsid w:val="00362BD8"/>
    <w:rsid w:val="003631A9"/>
    <w:rsid w:val="00372155"/>
    <w:rsid w:val="003746B1"/>
    <w:rsid w:val="00377972"/>
    <w:rsid w:val="003821C5"/>
    <w:rsid w:val="003823AD"/>
    <w:rsid w:val="0038264F"/>
    <w:rsid w:val="00382EA2"/>
    <w:rsid w:val="0038575C"/>
    <w:rsid w:val="003857DD"/>
    <w:rsid w:val="00386370"/>
    <w:rsid w:val="0039199C"/>
    <w:rsid w:val="003A0F8B"/>
    <w:rsid w:val="003A1430"/>
    <w:rsid w:val="003A1B1E"/>
    <w:rsid w:val="003A1D68"/>
    <w:rsid w:val="003A4502"/>
    <w:rsid w:val="003A469A"/>
    <w:rsid w:val="003A5B33"/>
    <w:rsid w:val="003B34B7"/>
    <w:rsid w:val="003B6D80"/>
    <w:rsid w:val="003C1594"/>
    <w:rsid w:val="003C2F23"/>
    <w:rsid w:val="003C6DCF"/>
    <w:rsid w:val="003C7635"/>
    <w:rsid w:val="003C7CD0"/>
    <w:rsid w:val="003D13B2"/>
    <w:rsid w:val="003D148A"/>
    <w:rsid w:val="003D1C0B"/>
    <w:rsid w:val="003D2E03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22BD"/>
    <w:rsid w:val="00404CDE"/>
    <w:rsid w:val="004106EB"/>
    <w:rsid w:val="00413278"/>
    <w:rsid w:val="00413C03"/>
    <w:rsid w:val="00413C9B"/>
    <w:rsid w:val="00422359"/>
    <w:rsid w:val="00423238"/>
    <w:rsid w:val="00424D3A"/>
    <w:rsid w:val="00427B42"/>
    <w:rsid w:val="00430B2B"/>
    <w:rsid w:val="00435E60"/>
    <w:rsid w:val="004403BE"/>
    <w:rsid w:val="004433F4"/>
    <w:rsid w:val="004436C2"/>
    <w:rsid w:val="004443E3"/>
    <w:rsid w:val="004446BF"/>
    <w:rsid w:val="004446D5"/>
    <w:rsid w:val="00445455"/>
    <w:rsid w:val="00446922"/>
    <w:rsid w:val="0045087F"/>
    <w:rsid w:val="00450C6F"/>
    <w:rsid w:val="004526EA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608"/>
    <w:rsid w:val="00486AB0"/>
    <w:rsid w:val="00487DA6"/>
    <w:rsid w:val="004910EB"/>
    <w:rsid w:val="004A01D1"/>
    <w:rsid w:val="004A34C6"/>
    <w:rsid w:val="004A39AE"/>
    <w:rsid w:val="004A40ED"/>
    <w:rsid w:val="004A415E"/>
    <w:rsid w:val="004A4F14"/>
    <w:rsid w:val="004A78E4"/>
    <w:rsid w:val="004B073D"/>
    <w:rsid w:val="004B27F4"/>
    <w:rsid w:val="004B397F"/>
    <w:rsid w:val="004B6B7B"/>
    <w:rsid w:val="004B6F05"/>
    <w:rsid w:val="004C15C0"/>
    <w:rsid w:val="004C1747"/>
    <w:rsid w:val="004C44FF"/>
    <w:rsid w:val="004C57F2"/>
    <w:rsid w:val="004C5ACC"/>
    <w:rsid w:val="004C68FB"/>
    <w:rsid w:val="004D0054"/>
    <w:rsid w:val="004D11AB"/>
    <w:rsid w:val="004D205A"/>
    <w:rsid w:val="004D27A8"/>
    <w:rsid w:val="004D39FF"/>
    <w:rsid w:val="004D7987"/>
    <w:rsid w:val="004E144C"/>
    <w:rsid w:val="004E1BF5"/>
    <w:rsid w:val="004E20BF"/>
    <w:rsid w:val="004E5777"/>
    <w:rsid w:val="004E5908"/>
    <w:rsid w:val="004E6A22"/>
    <w:rsid w:val="004E6FFE"/>
    <w:rsid w:val="004E77E2"/>
    <w:rsid w:val="004F0ABF"/>
    <w:rsid w:val="004F1CBA"/>
    <w:rsid w:val="004F1D9C"/>
    <w:rsid w:val="004F3482"/>
    <w:rsid w:val="004F7F3C"/>
    <w:rsid w:val="005048D1"/>
    <w:rsid w:val="00504CAD"/>
    <w:rsid w:val="00506D4E"/>
    <w:rsid w:val="005124F4"/>
    <w:rsid w:val="005144DC"/>
    <w:rsid w:val="0051717D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566F7"/>
    <w:rsid w:val="005655BE"/>
    <w:rsid w:val="0056759D"/>
    <w:rsid w:val="00571D6F"/>
    <w:rsid w:val="005739E0"/>
    <w:rsid w:val="00581F23"/>
    <w:rsid w:val="00582FA4"/>
    <w:rsid w:val="00590070"/>
    <w:rsid w:val="005926B2"/>
    <w:rsid w:val="00594D83"/>
    <w:rsid w:val="00596B5B"/>
    <w:rsid w:val="005A0933"/>
    <w:rsid w:val="005A095D"/>
    <w:rsid w:val="005A0F22"/>
    <w:rsid w:val="005A1A4F"/>
    <w:rsid w:val="005A288C"/>
    <w:rsid w:val="005A2B1F"/>
    <w:rsid w:val="005A46C0"/>
    <w:rsid w:val="005A578E"/>
    <w:rsid w:val="005B2EE7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4D8"/>
    <w:rsid w:val="005D1F21"/>
    <w:rsid w:val="005D3C50"/>
    <w:rsid w:val="005D6BBC"/>
    <w:rsid w:val="005D7690"/>
    <w:rsid w:val="005E3133"/>
    <w:rsid w:val="005E52B2"/>
    <w:rsid w:val="005E57D5"/>
    <w:rsid w:val="005E5C59"/>
    <w:rsid w:val="005E6E20"/>
    <w:rsid w:val="005E7766"/>
    <w:rsid w:val="005E7B42"/>
    <w:rsid w:val="005F2F11"/>
    <w:rsid w:val="005F5106"/>
    <w:rsid w:val="005F57C3"/>
    <w:rsid w:val="005F7C8C"/>
    <w:rsid w:val="00601A32"/>
    <w:rsid w:val="00610A46"/>
    <w:rsid w:val="0061158B"/>
    <w:rsid w:val="00611AC7"/>
    <w:rsid w:val="00614F22"/>
    <w:rsid w:val="00620510"/>
    <w:rsid w:val="00622253"/>
    <w:rsid w:val="00622860"/>
    <w:rsid w:val="00623EC2"/>
    <w:rsid w:val="0062406F"/>
    <w:rsid w:val="00625A56"/>
    <w:rsid w:val="00627C90"/>
    <w:rsid w:val="006352B3"/>
    <w:rsid w:val="006358FB"/>
    <w:rsid w:val="006359D4"/>
    <w:rsid w:val="0063698F"/>
    <w:rsid w:val="006371EC"/>
    <w:rsid w:val="006372C9"/>
    <w:rsid w:val="00637FFC"/>
    <w:rsid w:val="006400D1"/>
    <w:rsid w:val="00647244"/>
    <w:rsid w:val="006476A9"/>
    <w:rsid w:val="00650C02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3D"/>
    <w:rsid w:val="006A2DC7"/>
    <w:rsid w:val="006A58F4"/>
    <w:rsid w:val="006A7AEB"/>
    <w:rsid w:val="006B0AAB"/>
    <w:rsid w:val="006B2242"/>
    <w:rsid w:val="006B5823"/>
    <w:rsid w:val="006B62FA"/>
    <w:rsid w:val="006B64D3"/>
    <w:rsid w:val="006B72A5"/>
    <w:rsid w:val="006C0A5B"/>
    <w:rsid w:val="006C19AF"/>
    <w:rsid w:val="006C2A58"/>
    <w:rsid w:val="006C2FAC"/>
    <w:rsid w:val="006C534E"/>
    <w:rsid w:val="006C66A0"/>
    <w:rsid w:val="006C68C9"/>
    <w:rsid w:val="006D3372"/>
    <w:rsid w:val="006E0A1F"/>
    <w:rsid w:val="006E17E3"/>
    <w:rsid w:val="006E2021"/>
    <w:rsid w:val="006E2076"/>
    <w:rsid w:val="006E52BF"/>
    <w:rsid w:val="006E6664"/>
    <w:rsid w:val="006F66C7"/>
    <w:rsid w:val="006F73CA"/>
    <w:rsid w:val="0070120C"/>
    <w:rsid w:val="00701E58"/>
    <w:rsid w:val="00704171"/>
    <w:rsid w:val="00705BF1"/>
    <w:rsid w:val="00707377"/>
    <w:rsid w:val="0070749F"/>
    <w:rsid w:val="00707B53"/>
    <w:rsid w:val="0071133A"/>
    <w:rsid w:val="0071293A"/>
    <w:rsid w:val="00712B92"/>
    <w:rsid w:val="00715A01"/>
    <w:rsid w:val="00717789"/>
    <w:rsid w:val="00722BD5"/>
    <w:rsid w:val="0072379F"/>
    <w:rsid w:val="007245F9"/>
    <w:rsid w:val="00724EA5"/>
    <w:rsid w:val="00725C68"/>
    <w:rsid w:val="00725FBA"/>
    <w:rsid w:val="007325C1"/>
    <w:rsid w:val="007332BB"/>
    <w:rsid w:val="00733ADB"/>
    <w:rsid w:val="007364ED"/>
    <w:rsid w:val="007401E0"/>
    <w:rsid w:val="0074083D"/>
    <w:rsid w:val="00740A9C"/>
    <w:rsid w:val="00740CEF"/>
    <w:rsid w:val="00741610"/>
    <w:rsid w:val="00741DA1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1B80"/>
    <w:rsid w:val="00763438"/>
    <w:rsid w:val="007645E5"/>
    <w:rsid w:val="00766772"/>
    <w:rsid w:val="00766B64"/>
    <w:rsid w:val="007719A4"/>
    <w:rsid w:val="00771E58"/>
    <w:rsid w:val="00772203"/>
    <w:rsid w:val="00773F67"/>
    <w:rsid w:val="00774741"/>
    <w:rsid w:val="00775F54"/>
    <w:rsid w:val="007764C4"/>
    <w:rsid w:val="007769EF"/>
    <w:rsid w:val="00777E7A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B25"/>
    <w:rsid w:val="007A0D67"/>
    <w:rsid w:val="007A2633"/>
    <w:rsid w:val="007A379A"/>
    <w:rsid w:val="007A3DA8"/>
    <w:rsid w:val="007A4F9B"/>
    <w:rsid w:val="007B0834"/>
    <w:rsid w:val="007B0E97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1D7"/>
    <w:rsid w:val="007D17BF"/>
    <w:rsid w:val="007D2761"/>
    <w:rsid w:val="007D4B89"/>
    <w:rsid w:val="007D4FCE"/>
    <w:rsid w:val="007D6580"/>
    <w:rsid w:val="007D73DF"/>
    <w:rsid w:val="007D7B83"/>
    <w:rsid w:val="007E00B2"/>
    <w:rsid w:val="007E12CC"/>
    <w:rsid w:val="007E1507"/>
    <w:rsid w:val="007E1C6A"/>
    <w:rsid w:val="007E7A68"/>
    <w:rsid w:val="007E7EFD"/>
    <w:rsid w:val="007F1A55"/>
    <w:rsid w:val="007F3C5F"/>
    <w:rsid w:val="007F4F22"/>
    <w:rsid w:val="007F61B9"/>
    <w:rsid w:val="007F6B84"/>
    <w:rsid w:val="007F73D3"/>
    <w:rsid w:val="007F7899"/>
    <w:rsid w:val="00800692"/>
    <w:rsid w:val="008013DF"/>
    <w:rsid w:val="00803B5B"/>
    <w:rsid w:val="00804F6A"/>
    <w:rsid w:val="008108C2"/>
    <w:rsid w:val="00810DE3"/>
    <w:rsid w:val="0081352C"/>
    <w:rsid w:val="00815942"/>
    <w:rsid w:val="00816FB6"/>
    <w:rsid w:val="00817CC3"/>
    <w:rsid w:val="0082156E"/>
    <w:rsid w:val="00822222"/>
    <w:rsid w:val="00824C6E"/>
    <w:rsid w:val="00827234"/>
    <w:rsid w:val="008302AE"/>
    <w:rsid w:val="00831389"/>
    <w:rsid w:val="00831683"/>
    <w:rsid w:val="008322EF"/>
    <w:rsid w:val="008347A0"/>
    <w:rsid w:val="00834A15"/>
    <w:rsid w:val="00834AFD"/>
    <w:rsid w:val="00837D8E"/>
    <w:rsid w:val="00846298"/>
    <w:rsid w:val="00847F5B"/>
    <w:rsid w:val="00850BA9"/>
    <w:rsid w:val="00857EC2"/>
    <w:rsid w:val="008603F5"/>
    <w:rsid w:val="00863D54"/>
    <w:rsid w:val="00864EFC"/>
    <w:rsid w:val="0087318C"/>
    <w:rsid w:val="00873A6C"/>
    <w:rsid w:val="0087527B"/>
    <w:rsid w:val="008757FD"/>
    <w:rsid w:val="00877278"/>
    <w:rsid w:val="00880A48"/>
    <w:rsid w:val="00880BF6"/>
    <w:rsid w:val="00882597"/>
    <w:rsid w:val="008870B7"/>
    <w:rsid w:val="00891A8D"/>
    <w:rsid w:val="0089517A"/>
    <w:rsid w:val="008957C0"/>
    <w:rsid w:val="0089581E"/>
    <w:rsid w:val="008962A7"/>
    <w:rsid w:val="0089756E"/>
    <w:rsid w:val="008A3E62"/>
    <w:rsid w:val="008B1C67"/>
    <w:rsid w:val="008B5F4B"/>
    <w:rsid w:val="008B6382"/>
    <w:rsid w:val="008B7AC9"/>
    <w:rsid w:val="008B7FE7"/>
    <w:rsid w:val="008C028B"/>
    <w:rsid w:val="008C0D15"/>
    <w:rsid w:val="008C25CA"/>
    <w:rsid w:val="008C2E51"/>
    <w:rsid w:val="008C466C"/>
    <w:rsid w:val="008C47C6"/>
    <w:rsid w:val="008C5A22"/>
    <w:rsid w:val="008D1888"/>
    <w:rsid w:val="008D3479"/>
    <w:rsid w:val="008D3C55"/>
    <w:rsid w:val="008D48A3"/>
    <w:rsid w:val="008D4F52"/>
    <w:rsid w:val="008D52E0"/>
    <w:rsid w:val="008D6197"/>
    <w:rsid w:val="008E017C"/>
    <w:rsid w:val="008F216C"/>
    <w:rsid w:val="008F23AB"/>
    <w:rsid w:val="008F2D2F"/>
    <w:rsid w:val="008F3AD2"/>
    <w:rsid w:val="008F47EA"/>
    <w:rsid w:val="00904804"/>
    <w:rsid w:val="00904F4B"/>
    <w:rsid w:val="00904F8B"/>
    <w:rsid w:val="009055C7"/>
    <w:rsid w:val="0090691B"/>
    <w:rsid w:val="009124AE"/>
    <w:rsid w:val="009166DB"/>
    <w:rsid w:val="009174BE"/>
    <w:rsid w:val="00917B22"/>
    <w:rsid w:val="009201C1"/>
    <w:rsid w:val="0092276F"/>
    <w:rsid w:val="00931266"/>
    <w:rsid w:val="0093277F"/>
    <w:rsid w:val="009349B1"/>
    <w:rsid w:val="0094212C"/>
    <w:rsid w:val="009423CC"/>
    <w:rsid w:val="00942533"/>
    <w:rsid w:val="009463FC"/>
    <w:rsid w:val="00947251"/>
    <w:rsid w:val="00954090"/>
    <w:rsid w:val="0095469E"/>
    <w:rsid w:val="00957AF2"/>
    <w:rsid w:val="0096227A"/>
    <w:rsid w:val="00963203"/>
    <w:rsid w:val="009632C2"/>
    <w:rsid w:val="00965F15"/>
    <w:rsid w:val="009716FC"/>
    <w:rsid w:val="009735A7"/>
    <w:rsid w:val="009755A3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1E16"/>
    <w:rsid w:val="00995F26"/>
    <w:rsid w:val="00997134"/>
    <w:rsid w:val="00997622"/>
    <w:rsid w:val="009A20D5"/>
    <w:rsid w:val="009A27F2"/>
    <w:rsid w:val="009A3595"/>
    <w:rsid w:val="009A7E84"/>
    <w:rsid w:val="009B0EF8"/>
    <w:rsid w:val="009B26B8"/>
    <w:rsid w:val="009B4DA1"/>
    <w:rsid w:val="009B503A"/>
    <w:rsid w:val="009B5B41"/>
    <w:rsid w:val="009B5E75"/>
    <w:rsid w:val="009B7A8B"/>
    <w:rsid w:val="009C1738"/>
    <w:rsid w:val="009C1A81"/>
    <w:rsid w:val="009C1BBD"/>
    <w:rsid w:val="009C2E7E"/>
    <w:rsid w:val="009C5BEF"/>
    <w:rsid w:val="009D64FD"/>
    <w:rsid w:val="009E044A"/>
    <w:rsid w:val="009E273E"/>
    <w:rsid w:val="009E2F6E"/>
    <w:rsid w:val="009E36F9"/>
    <w:rsid w:val="009E5332"/>
    <w:rsid w:val="009E5BFC"/>
    <w:rsid w:val="009E733E"/>
    <w:rsid w:val="009F1DE0"/>
    <w:rsid w:val="009F34FC"/>
    <w:rsid w:val="009F49D9"/>
    <w:rsid w:val="009F5915"/>
    <w:rsid w:val="009F6823"/>
    <w:rsid w:val="009F693E"/>
    <w:rsid w:val="00A04344"/>
    <w:rsid w:val="00A04D5B"/>
    <w:rsid w:val="00A05921"/>
    <w:rsid w:val="00A13DD4"/>
    <w:rsid w:val="00A144D9"/>
    <w:rsid w:val="00A15DA1"/>
    <w:rsid w:val="00A21AD8"/>
    <w:rsid w:val="00A22B02"/>
    <w:rsid w:val="00A32DD3"/>
    <w:rsid w:val="00A346E6"/>
    <w:rsid w:val="00A41937"/>
    <w:rsid w:val="00A43FAF"/>
    <w:rsid w:val="00A4413E"/>
    <w:rsid w:val="00A457BA"/>
    <w:rsid w:val="00A45ECD"/>
    <w:rsid w:val="00A50398"/>
    <w:rsid w:val="00A503C0"/>
    <w:rsid w:val="00A50827"/>
    <w:rsid w:val="00A52DDD"/>
    <w:rsid w:val="00A53372"/>
    <w:rsid w:val="00A55303"/>
    <w:rsid w:val="00A609AF"/>
    <w:rsid w:val="00A64DF3"/>
    <w:rsid w:val="00A66B18"/>
    <w:rsid w:val="00A7016C"/>
    <w:rsid w:val="00A705F7"/>
    <w:rsid w:val="00A7686B"/>
    <w:rsid w:val="00A76D83"/>
    <w:rsid w:val="00A826D1"/>
    <w:rsid w:val="00A84759"/>
    <w:rsid w:val="00A8769D"/>
    <w:rsid w:val="00A87C27"/>
    <w:rsid w:val="00A92613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B7B15"/>
    <w:rsid w:val="00AC656A"/>
    <w:rsid w:val="00AD15CB"/>
    <w:rsid w:val="00AD1B67"/>
    <w:rsid w:val="00AD1E9A"/>
    <w:rsid w:val="00AD5ADA"/>
    <w:rsid w:val="00AD784E"/>
    <w:rsid w:val="00AE2DF0"/>
    <w:rsid w:val="00AE506D"/>
    <w:rsid w:val="00AE61D4"/>
    <w:rsid w:val="00AE6A51"/>
    <w:rsid w:val="00AE7F34"/>
    <w:rsid w:val="00AF2763"/>
    <w:rsid w:val="00AF61B8"/>
    <w:rsid w:val="00B01196"/>
    <w:rsid w:val="00B015F1"/>
    <w:rsid w:val="00B034BC"/>
    <w:rsid w:val="00B053C0"/>
    <w:rsid w:val="00B076EC"/>
    <w:rsid w:val="00B10A0A"/>
    <w:rsid w:val="00B14F07"/>
    <w:rsid w:val="00B15954"/>
    <w:rsid w:val="00B2046F"/>
    <w:rsid w:val="00B267D8"/>
    <w:rsid w:val="00B26D68"/>
    <w:rsid w:val="00B27EC1"/>
    <w:rsid w:val="00B30209"/>
    <w:rsid w:val="00B333D5"/>
    <w:rsid w:val="00B349F8"/>
    <w:rsid w:val="00B4031D"/>
    <w:rsid w:val="00B456E6"/>
    <w:rsid w:val="00B47C4F"/>
    <w:rsid w:val="00B51381"/>
    <w:rsid w:val="00B5376F"/>
    <w:rsid w:val="00B53870"/>
    <w:rsid w:val="00B546AB"/>
    <w:rsid w:val="00B5566B"/>
    <w:rsid w:val="00B559A8"/>
    <w:rsid w:val="00B56350"/>
    <w:rsid w:val="00B616F3"/>
    <w:rsid w:val="00B61C47"/>
    <w:rsid w:val="00B6286F"/>
    <w:rsid w:val="00B62DA0"/>
    <w:rsid w:val="00B641E4"/>
    <w:rsid w:val="00B70E9B"/>
    <w:rsid w:val="00B752B9"/>
    <w:rsid w:val="00B80201"/>
    <w:rsid w:val="00B807FA"/>
    <w:rsid w:val="00B81E21"/>
    <w:rsid w:val="00B823C3"/>
    <w:rsid w:val="00B833CB"/>
    <w:rsid w:val="00B8353A"/>
    <w:rsid w:val="00B83DC0"/>
    <w:rsid w:val="00B84670"/>
    <w:rsid w:val="00B847F8"/>
    <w:rsid w:val="00B84E88"/>
    <w:rsid w:val="00B86A4F"/>
    <w:rsid w:val="00B90132"/>
    <w:rsid w:val="00B909DB"/>
    <w:rsid w:val="00B911B1"/>
    <w:rsid w:val="00B93D70"/>
    <w:rsid w:val="00B94581"/>
    <w:rsid w:val="00BA116E"/>
    <w:rsid w:val="00BA1616"/>
    <w:rsid w:val="00BA2B1A"/>
    <w:rsid w:val="00BA4075"/>
    <w:rsid w:val="00BB0472"/>
    <w:rsid w:val="00BB0A24"/>
    <w:rsid w:val="00BB0C5C"/>
    <w:rsid w:val="00BB1D28"/>
    <w:rsid w:val="00BB647D"/>
    <w:rsid w:val="00BB7BCE"/>
    <w:rsid w:val="00BC11CA"/>
    <w:rsid w:val="00BC1F21"/>
    <w:rsid w:val="00BC2718"/>
    <w:rsid w:val="00BC3AB8"/>
    <w:rsid w:val="00BC4280"/>
    <w:rsid w:val="00BC4DF1"/>
    <w:rsid w:val="00BC5357"/>
    <w:rsid w:val="00BC5C42"/>
    <w:rsid w:val="00BC6568"/>
    <w:rsid w:val="00BC78DE"/>
    <w:rsid w:val="00BD234D"/>
    <w:rsid w:val="00BD45BF"/>
    <w:rsid w:val="00BD4931"/>
    <w:rsid w:val="00BD5367"/>
    <w:rsid w:val="00BD7885"/>
    <w:rsid w:val="00BD797B"/>
    <w:rsid w:val="00BE187C"/>
    <w:rsid w:val="00BE1C07"/>
    <w:rsid w:val="00BE4F2C"/>
    <w:rsid w:val="00BE5C16"/>
    <w:rsid w:val="00BE60A0"/>
    <w:rsid w:val="00BE687A"/>
    <w:rsid w:val="00BF416C"/>
    <w:rsid w:val="00BF4DA5"/>
    <w:rsid w:val="00BF75FE"/>
    <w:rsid w:val="00BF7849"/>
    <w:rsid w:val="00BF7944"/>
    <w:rsid w:val="00C014AF"/>
    <w:rsid w:val="00C055B7"/>
    <w:rsid w:val="00C0665A"/>
    <w:rsid w:val="00C077D6"/>
    <w:rsid w:val="00C07FFB"/>
    <w:rsid w:val="00C12A6B"/>
    <w:rsid w:val="00C151EA"/>
    <w:rsid w:val="00C153AE"/>
    <w:rsid w:val="00C160E7"/>
    <w:rsid w:val="00C20092"/>
    <w:rsid w:val="00C20160"/>
    <w:rsid w:val="00C23D75"/>
    <w:rsid w:val="00C24915"/>
    <w:rsid w:val="00C24B1F"/>
    <w:rsid w:val="00C265AE"/>
    <w:rsid w:val="00C27666"/>
    <w:rsid w:val="00C27BAE"/>
    <w:rsid w:val="00C302DD"/>
    <w:rsid w:val="00C30C2D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418"/>
    <w:rsid w:val="00C525BF"/>
    <w:rsid w:val="00C531EA"/>
    <w:rsid w:val="00C55174"/>
    <w:rsid w:val="00C5683D"/>
    <w:rsid w:val="00C568FB"/>
    <w:rsid w:val="00C5715F"/>
    <w:rsid w:val="00C5754B"/>
    <w:rsid w:val="00C65D14"/>
    <w:rsid w:val="00C66AC6"/>
    <w:rsid w:val="00C66B26"/>
    <w:rsid w:val="00C72980"/>
    <w:rsid w:val="00C732F7"/>
    <w:rsid w:val="00C73C2F"/>
    <w:rsid w:val="00C75992"/>
    <w:rsid w:val="00C80911"/>
    <w:rsid w:val="00C86028"/>
    <w:rsid w:val="00C86D8F"/>
    <w:rsid w:val="00C90107"/>
    <w:rsid w:val="00C9129E"/>
    <w:rsid w:val="00C915CF"/>
    <w:rsid w:val="00C9446F"/>
    <w:rsid w:val="00CA1CEF"/>
    <w:rsid w:val="00CA4146"/>
    <w:rsid w:val="00CA53CC"/>
    <w:rsid w:val="00CA5B08"/>
    <w:rsid w:val="00CA639E"/>
    <w:rsid w:val="00CB01CB"/>
    <w:rsid w:val="00CB080C"/>
    <w:rsid w:val="00CB3148"/>
    <w:rsid w:val="00CB32BF"/>
    <w:rsid w:val="00CB3367"/>
    <w:rsid w:val="00CB3F8A"/>
    <w:rsid w:val="00CC0241"/>
    <w:rsid w:val="00CC4B33"/>
    <w:rsid w:val="00CC508E"/>
    <w:rsid w:val="00CC77E7"/>
    <w:rsid w:val="00CD15B1"/>
    <w:rsid w:val="00CD1F53"/>
    <w:rsid w:val="00CD35D2"/>
    <w:rsid w:val="00CD51A2"/>
    <w:rsid w:val="00CD52A3"/>
    <w:rsid w:val="00CD5652"/>
    <w:rsid w:val="00CD764A"/>
    <w:rsid w:val="00CE162B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2B0"/>
    <w:rsid w:val="00D036F9"/>
    <w:rsid w:val="00D03959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204D0"/>
    <w:rsid w:val="00D25128"/>
    <w:rsid w:val="00D254DC"/>
    <w:rsid w:val="00D2783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37F72"/>
    <w:rsid w:val="00D40F62"/>
    <w:rsid w:val="00D44290"/>
    <w:rsid w:val="00D46806"/>
    <w:rsid w:val="00D510CD"/>
    <w:rsid w:val="00D55418"/>
    <w:rsid w:val="00D55E9A"/>
    <w:rsid w:val="00D567CB"/>
    <w:rsid w:val="00D60C69"/>
    <w:rsid w:val="00D62F07"/>
    <w:rsid w:val="00D650D2"/>
    <w:rsid w:val="00D66488"/>
    <w:rsid w:val="00D674EB"/>
    <w:rsid w:val="00D676A4"/>
    <w:rsid w:val="00D70273"/>
    <w:rsid w:val="00D7243E"/>
    <w:rsid w:val="00D7408F"/>
    <w:rsid w:val="00D74324"/>
    <w:rsid w:val="00D74818"/>
    <w:rsid w:val="00D771C7"/>
    <w:rsid w:val="00D81E37"/>
    <w:rsid w:val="00D82754"/>
    <w:rsid w:val="00D83AE4"/>
    <w:rsid w:val="00D84BE2"/>
    <w:rsid w:val="00D862CB"/>
    <w:rsid w:val="00D86324"/>
    <w:rsid w:val="00D916FA"/>
    <w:rsid w:val="00D919A1"/>
    <w:rsid w:val="00D92478"/>
    <w:rsid w:val="00D928EF"/>
    <w:rsid w:val="00D9346B"/>
    <w:rsid w:val="00D9357B"/>
    <w:rsid w:val="00DA040E"/>
    <w:rsid w:val="00DA1B9A"/>
    <w:rsid w:val="00DA2439"/>
    <w:rsid w:val="00DA265E"/>
    <w:rsid w:val="00DA32C2"/>
    <w:rsid w:val="00DA3640"/>
    <w:rsid w:val="00DA6BA6"/>
    <w:rsid w:val="00DA711E"/>
    <w:rsid w:val="00DB03DE"/>
    <w:rsid w:val="00DB0BF1"/>
    <w:rsid w:val="00DB1BC4"/>
    <w:rsid w:val="00DB3655"/>
    <w:rsid w:val="00DB3898"/>
    <w:rsid w:val="00DB71F2"/>
    <w:rsid w:val="00DC12A4"/>
    <w:rsid w:val="00DC3724"/>
    <w:rsid w:val="00DC5181"/>
    <w:rsid w:val="00DC7E4D"/>
    <w:rsid w:val="00DD0790"/>
    <w:rsid w:val="00DD08FA"/>
    <w:rsid w:val="00DD2FA1"/>
    <w:rsid w:val="00DD32BE"/>
    <w:rsid w:val="00DD5576"/>
    <w:rsid w:val="00DD63C7"/>
    <w:rsid w:val="00DD76CB"/>
    <w:rsid w:val="00DE0159"/>
    <w:rsid w:val="00DE1449"/>
    <w:rsid w:val="00DE440B"/>
    <w:rsid w:val="00DE47B0"/>
    <w:rsid w:val="00DE71D2"/>
    <w:rsid w:val="00DF0C77"/>
    <w:rsid w:val="00DF1D1F"/>
    <w:rsid w:val="00DF6A6F"/>
    <w:rsid w:val="00DF7018"/>
    <w:rsid w:val="00DF790D"/>
    <w:rsid w:val="00E01B7E"/>
    <w:rsid w:val="00E02280"/>
    <w:rsid w:val="00E043B9"/>
    <w:rsid w:val="00E0628D"/>
    <w:rsid w:val="00E0729A"/>
    <w:rsid w:val="00E07A8E"/>
    <w:rsid w:val="00E12B56"/>
    <w:rsid w:val="00E12CD0"/>
    <w:rsid w:val="00E20131"/>
    <w:rsid w:val="00E208D7"/>
    <w:rsid w:val="00E20904"/>
    <w:rsid w:val="00E2349C"/>
    <w:rsid w:val="00E235AB"/>
    <w:rsid w:val="00E2385D"/>
    <w:rsid w:val="00E258AE"/>
    <w:rsid w:val="00E25D89"/>
    <w:rsid w:val="00E27EF6"/>
    <w:rsid w:val="00E27FCE"/>
    <w:rsid w:val="00E306AA"/>
    <w:rsid w:val="00E31652"/>
    <w:rsid w:val="00E336C2"/>
    <w:rsid w:val="00E33DCD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63C8"/>
    <w:rsid w:val="00E665F6"/>
    <w:rsid w:val="00E66754"/>
    <w:rsid w:val="00E66973"/>
    <w:rsid w:val="00E67CE6"/>
    <w:rsid w:val="00E7004A"/>
    <w:rsid w:val="00E740A5"/>
    <w:rsid w:val="00E74747"/>
    <w:rsid w:val="00E74CF2"/>
    <w:rsid w:val="00E76774"/>
    <w:rsid w:val="00E77CF2"/>
    <w:rsid w:val="00E81731"/>
    <w:rsid w:val="00E822E2"/>
    <w:rsid w:val="00E8418B"/>
    <w:rsid w:val="00E84D86"/>
    <w:rsid w:val="00E85EB5"/>
    <w:rsid w:val="00E91C09"/>
    <w:rsid w:val="00E92647"/>
    <w:rsid w:val="00E96259"/>
    <w:rsid w:val="00EA2F25"/>
    <w:rsid w:val="00EA32CF"/>
    <w:rsid w:val="00EA348C"/>
    <w:rsid w:val="00EA40C4"/>
    <w:rsid w:val="00EB0E47"/>
    <w:rsid w:val="00EB132D"/>
    <w:rsid w:val="00EB14A3"/>
    <w:rsid w:val="00EB31C3"/>
    <w:rsid w:val="00EB346F"/>
    <w:rsid w:val="00EB4E56"/>
    <w:rsid w:val="00EB62C7"/>
    <w:rsid w:val="00EC0DAB"/>
    <w:rsid w:val="00EC1F62"/>
    <w:rsid w:val="00EC35F4"/>
    <w:rsid w:val="00EC382D"/>
    <w:rsid w:val="00EC5F62"/>
    <w:rsid w:val="00ED001A"/>
    <w:rsid w:val="00ED3FDD"/>
    <w:rsid w:val="00EE07A0"/>
    <w:rsid w:val="00EE13D4"/>
    <w:rsid w:val="00EE2A0B"/>
    <w:rsid w:val="00EE4E22"/>
    <w:rsid w:val="00EE5105"/>
    <w:rsid w:val="00EE5AB5"/>
    <w:rsid w:val="00EE7591"/>
    <w:rsid w:val="00EF2E38"/>
    <w:rsid w:val="00EF3B4F"/>
    <w:rsid w:val="00EF4697"/>
    <w:rsid w:val="00EF7B9D"/>
    <w:rsid w:val="00F00093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5AE8"/>
    <w:rsid w:val="00F15B3F"/>
    <w:rsid w:val="00F174F3"/>
    <w:rsid w:val="00F23BA7"/>
    <w:rsid w:val="00F2769D"/>
    <w:rsid w:val="00F27748"/>
    <w:rsid w:val="00F30383"/>
    <w:rsid w:val="00F3050F"/>
    <w:rsid w:val="00F30A4A"/>
    <w:rsid w:val="00F31750"/>
    <w:rsid w:val="00F46171"/>
    <w:rsid w:val="00F51DE3"/>
    <w:rsid w:val="00F54379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0C10"/>
    <w:rsid w:val="00F9375B"/>
    <w:rsid w:val="00F93C4B"/>
    <w:rsid w:val="00F93D56"/>
    <w:rsid w:val="00F93E03"/>
    <w:rsid w:val="00F96765"/>
    <w:rsid w:val="00F96E32"/>
    <w:rsid w:val="00F97139"/>
    <w:rsid w:val="00FA396F"/>
    <w:rsid w:val="00FA3DBC"/>
    <w:rsid w:val="00FA4635"/>
    <w:rsid w:val="00FA5001"/>
    <w:rsid w:val="00FA5159"/>
    <w:rsid w:val="00FA685E"/>
    <w:rsid w:val="00FA7280"/>
    <w:rsid w:val="00FB3D27"/>
    <w:rsid w:val="00FB4239"/>
    <w:rsid w:val="00FB4241"/>
    <w:rsid w:val="00FB5043"/>
    <w:rsid w:val="00FB76AE"/>
    <w:rsid w:val="00FB7A8F"/>
    <w:rsid w:val="00FC004C"/>
    <w:rsid w:val="00FC037B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7C67"/>
    <w:rsid w:val="00FE2338"/>
    <w:rsid w:val="00FE34B6"/>
    <w:rsid w:val="00FE6163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6A"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6A"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745F3242BA0EEC2DF4FE0C1BB133EBBE3F5804071FC164E113456D4B58B8F83205E0C49C30gBt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3830115F6505277024931E568D77B133DB4E2C7C9C7E0BCB7807B2DF3E8F7749A0B67B36V3X5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45F3242BA0EEC2DF4FE0C1BB133EBBE3F5804071FC164E113456D4B58B8F83205E0C49C30gBt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66B403D95E733A09C70D67D79220C5C38F9A2DA6B0444E765328EF31457FBE075C5051F5B5C2B23c46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830115F6505277024931E568D77B133DB4E2C7C9C7E0BCB7807B2DF3E8F7749A0B67B36V3X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60E6-279B-4F5C-85A7-DF9B8D9E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19</Pages>
  <Words>5985</Words>
  <Characters>34116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15</cp:revision>
  <cp:lastPrinted>2018-01-16T08:24:00Z</cp:lastPrinted>
  <dcterms:created xsi:type="dcterms:W3CDTF">2016-12-30T06:13:00Z</dcterms:created>
  <dcterms:modified xsi:type="dcterms:W3CDTF">2018-01-22T09:54:00Z</dcterms:modified>
</cp:coreProperties>
</file>