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5" w:rsidRDefault="008351F5" w:rsidP="008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position w:val="4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  <w:t xml:space="preserve"> </w:t>
      </w: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8351F5" w:rsidRDefault="008351F5" w:rsidP="0083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351F5" w:rsidRDefault="008351F5" w:rsidP="008351F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51F5" w:rsidRDefault="008351F5" w:rsidP="00835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   </w:t>
      </w:r>
      <w:r w:rsidR="00812190">
        <w:rPr>
          <w:rFonts w:ascii="Times New Roman" w:eastAsia="Times New Roman" w:hAnsi="Times New Roman" w:cs="Times New Roman"/>
          <w:sz w:val="26"/>
          <w:szCs w:val="20"/>
          <w:lang w:eastAsia="ru-RU"/>
        </w:rPr>
        <w:t>16.09.2024г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 </w:t>
      </w:r>
      <w:r w:rsidR="00812190">
        <w:rPr>
          <w:rFonts w:ascii="Times New Roman" w:eastAsia="Times New Roman" w:hAnsi="Times New Roman" w:cs="Times New Roman"/>
          <w:sz w:val="26"/>
          <w:szCs w:val="20"/>
          <w:lang w:eastAsia="ru-RU"/>
        </w:rPr>
        <w:t>455</w:t>
      </w:r>
    </w:p>
    <w:p w:rsidR="008351F5" w:rsidRDefault="008351F5" w:rsidP="00835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Стародуб</w:t>
      </w:r>
    </w:p>
    <w:p w:rsidR="008351F5" w:rsidRDefault="008351F5" w:rsidP="00835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дополнений в Устав 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Стародубского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 Брянской области</w:t>
      </w:r>
    </w:p>
    <w:p w:rsidR="008351F5" w:rsidRDefault="008351F5" w:rsidP="00835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</w:p>
    <w:p w:rsidR="008351F5" w:rsidRDefault="008351F5" w:rsidP="008351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Стародубского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принятого решением Совета народных депутатов Стародубского муниципального округа Брянской области                                                                   №55 от 24.12.2020г.,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Совет народных депутатов Стародубского муниципального округа решил:</w:t>
      </w:r>
    </w:p>
    <w:p w:rsidR="008351F5" w:rsidRDefault="008351F5" w:rsidP="0083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8351F5" w:rsidRDefault="008351F5" w:rsidP="008351F5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изменения и дополнения, вносимые в Устав Стародубского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 в установленные сроки.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Стародубского</w:t>
      </w: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                           Н.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8351F5" w:rsidRDefault="008351F5" w:rsidP="008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    №1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8351F5" w:rsidRDefault="008351F5" w:rsidP="0083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8351F5" w:rsidRDefault="008351F5" w:rsidP="008351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 </w:t>
      </w:r>
      <w:r w:rsidR="00812190">
        <w:rPr>
          <w:rFonts w:ascii="Times New Roman" w:eastAsia="Times New Roman" w:hAnsi="Times New Roman" w:cs="Times New Roman"/>
          <w:sz w:val="24"/>
          <w:szCs w:val="24"/>
        </w:rPr>
        <w:t>455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   </w:t>
      </w:r>
      <w:r w:rsidR="00812190">
        <w:rPr>
          <w:rFonts w:ascii="Times New Roman" w:eastAsia="Times New Roman" w:hAnsi="Times New Roman" w:cs="Times New Roman"/>
          <w:sz w:val="24"/>
          <w:szCs w:val="24"/>
        </w:rPr>
        <w:t>16.09.2024г.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351F5" w:rsidRDefault="008351F5" w:rsidP="00835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1F5" w:rsidRDefault="008351F5" w:rsidP="008351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Часть 1 статьи 10 Устава дополнить пунктом 46 следующего содержания: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 xml:space="preserve">«46) осуществление учета личных подсобных хозяйств, которые ведут граждане  в соответствии с Федеральным законом от 07 июля 2003 года № 112- ФЗ «О личном подсобном хозяйстве», в </w:t>
      </w:r>
      <w:proofErr w:type="spellStart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 xml:space="preserve"> книгах».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 статьи 24 Устава изложить в следующей редакции: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Стародубского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высшим должностным лицом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и осуществляет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»</w:t>
      </w:r>
      <w:proofErr w:type="gramEnd"/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7 и пункт 8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статьи 24  Устава исключить.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1 статьи 33 Устава изложить в следующей редакции: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10" w:after="0" w:line="240" w:lineRule="auto"/>
        <w:ind w:left="24" w:right="14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Депутатами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являются граждане, избранные в состав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населением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муниципальных выборах на основе всеобщего, равного, и прямого избирательного права при тайном голосовании на срок полномочий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Полномочия 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начинаются со дня его избрания и прекращаются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 дня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начала работы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нового созыва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8351F5" w:rsidRDefault="008351F5" w:rsidP="008351F5">
      <w:pPr>
        <w:shd w:val="clear" w:color="auto" w:fill="FFFFFF"/>
        <w:spacing w:before="5" w:after="0" w:line="240" w:lineRule="auto"/>
        <w:ind w:left="24" w:right="19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Установленный срок полномочий депутата не может быть изменен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течение текущего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срока полномочий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Абзац первый пункта 3 статьи 33 Устава дополнить предложением следующего содержания: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«На постоянной основе могут работать не более десяти процентов депутатов от установленной численности депутатов Стародубского муниципального округа Брянской области»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3 статьи 35 Устава изложить в следующей редакции:</w:t>
      </w: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«Депутату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осуществляющему свои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полномочия на постоянной основе, за счёт средств местного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гарантируются:</w:t>
      </w:r>
    </w:p>
    <w:p w:rsidR="008351F5" w:rsidRDefault="008351F5" w:rsidP="008351F5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условия работы, обеспечивающие осуществление полномочий;</w:t>
      </w:r>
    </w:p>
    <w:p w:rsidR="008351F5" w:rsidRDefault="008351F5" w:rsidP="008351F5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   на   своевременное   и   в   полном   объеме   получение   денежного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содержания;</w:t>
      </w:r>
    </w:p>
    <w:p w:rsidR="008351F5" w:rsidRDefault="008351F5" w:rsidP="008351F5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возмещение расходов связанных с осуществлением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полномочий 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8351F5" w:rsidRDefault="008351F5" w:rsidP="008351F5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рабочего    времени,        предоставлением    выходных        и    нерабочих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праздничных    дней,    а   также    ежегодного    оплачиваемого    отпуска.</w:t>
      </w:r>
    </w:p>
    <w:p w:rsidR="008351F5" w:rsidRDefault="008351F5" w:rsidP="008351F5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компенсационные выплаты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случай гибели (смерти), причинения увечья или иного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повреждения здоровья в связи с осуществлением депутатом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Стародубского муниципального округа  полномочий,   а   также   на   случай   заболевания   или   утраты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трудоспособности в период осуществления им полномочий или 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прекращения    их    осуществления,     но     наступивших     в     связи    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осуществлением  им полномочий;</w:t>
      </w:r>
    </w:p>
    <w:p w:rsidR="008351F5" w:rsidRDefault="008351F5" w:rsidP="008351F5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компенсация в случае причинения в связи с осуществлением полномочий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увечья   или   иного   повреждения   здоровья,   повлекшего   полную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частичную утрату трудоспособности;</w:t>
      </w:r>
    </w:p>
    <w:p w:rsidR="008351F5" w:rsidRDefault="008351F5" w:rsidP="008351F5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медицинское   обслуживание,   в   том   числе   после   выхода депутата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осуществлявшего    свои полномочия на постоянной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основе, на пенсию;</w:t>
      </w:r>
    </w:p>
    <w:p w:rsidR="008351F5" w:rsidRDefault="008351F5" w:rsidP="008351F5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пенсионное обеспечение;</w:t>
      </w:r>
    </w:p>
    <w:p w:rsidR="008351F5" w:rsidRDefault="008351F5" w:rsidP="008351F5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членов его семьи от насилия, угроз и других    неправомерных   действий    в    связи    с    осуществлением    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полномочий.</w:t>
      </w:r>
    </w:p>
    <w:p w:rsidR="008351F5" w:rsidRDefault="008351F5" w:rsidP="008351F5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осуществляющему свои полномочия на постоянной основе, предоставляется ежегодный основной оплачиваемый отпуск, продолжительность которого устанавливается решением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но не может превышать 32 календарных дня.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Помимо ежегодного основного оплачиваемого отпуска, предусмотренного настоящей статьей, а также дополнительных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оплачиваемых отпусков, предусмотренных Трудовым </w:t>
      </w:r>
      <w:hyperlink r:id="rId7" w:history="1"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Российской Федерации и иными федеральными законами, за счет средств местного бюджета депутату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осуществляющему свои полномочия на постоянной основе, предоставляется ежегодный дополнительный оплачиваемый отпуск за выслугу лет продолжительностью не более 15 календарных дней, а также ежегодный дополнительный оплачиваемый отпуск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ненормированный рабочий день продолжительностью не более 5 календарных дней.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Условия, порядок предоставления,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нормативным правовым актом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351F5" w:rsidRDefault="008351F5" w:rsidP="008351F5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4 статьи 35 Устава изложить в следующей редакции:</w:t>
      </w:r>
    </w:p>
    <w:p w:rsidR="008351F5" w:rsidRDefault="008351F5" w:rsidP="008351F5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8351F5" w:rsidRDefault="008351F5" w:rsidP="008351F5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осуществляющему свои полномочия на постоянной основе, после увольнения с должности по истечении срока полномочий может выплачиваться  единовременное денежное пособие, в размере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установленном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нормативным правовым актом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.»</w:t>
      </w:r>
    </w:p>
    <w:p w:rsidR="008351F5" w:rsidRDefault="008351F5" w:rsidP="008351F5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F5" w:rsidRDefault="008351F5" w:rsidP="008351F5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5 статьи 35 Устава изложить в следующей редакции:</w:t>
      </w:r>
    </w:p>
    <w:p w:rsidR="008351F5" w:rsidRDefault="008351F5" w:rsidP="008351F5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F5" w:rsidRDefault="008351F5" w:rsidP="0083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«5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Нормативным правовым актом представительного органа муниципального образования в соответствии с бюджетным законодательством может быть предусмотрено право гражданина Российской Федерации, осуществлявшего на постоянной основе полномочия депутата представительного органа муниципального образования, в течение срока, установленного нормативным правовым актом представительного органа муниципального образования, но не менее трех лет, либо при наличии стажа муниципальной службы, установленного нормативным правовым актом представительного органа муниципального образования, но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менее пятнадцати лет (за исключением гражданина, полномочия которого в качестве главы муниципального образования, иного выборного должностного лица местного самоуправления, депутата представительного органа муниципального образования, члена выборного органа местного самоуправления были досрочно прекращены в результате вступления в законную силу обвинительного приговора суда) на получение ежемесячной доплаты к пенсии, назначенной в соответствии с Федеральным законом "О страховых пенсиях", либо досрочно оформленной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соответствии с Законом Российской Федерации "О занятости населения в Российской Федерации", муниципальной пенсии за выслугу лет</w:t>
      </w:r>
      <w:proofErr w:type="gramStart"/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.»</w:t>
      </w:r>
      <w:proofErr w:type="gramEnd"/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пункт 1  статьи 36 Устава абзацем 4 следующего содержания:</w:t>
      </w: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51F5" w:rsidRDefault="008351F5" w:rsidP="0083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«По решению Совета народных депутатов Стародубского муниципального округа, заместитель председателя представительного органа   может осуществлять свои полномочия на постоянной основе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.» </w:t>
      </w:r>
      <w:proofErr w:type="gramEnd"/>
    </w:p>
    <w:p w:rsidR="008351F5" w:rsidRDefault="008351F5" w:rsidP="008351F5">
      <w:pPr>
        <w:ind w:firstLine="540"/>
      </w:pPr>
    </w:p>
    <w:p w:rsidR="006F0C38" w:rsidRDefault="006F0C38"/>
    <w:sectPr w:rsidR="006F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87741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148A3664"/>
    <w:multiLevelType w:val="singleLevel"/>
    <w:tmpl w:val="CC00B3F6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BB5124"/>
    <w:multiLevelType w:val="hybridMultilevel"/>
    <w:tmpl w:val="419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3E71"/>
    <w:multiLevelType w:val="singleLevel"/>
    <w:tmpl w:val="8A7632EC"/>
    <w:lvl w:ilvl="0">
      <w:start w:val="6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BE"/>
    <w:rsid w:val="006F0C38"/>
    <w:rsid w:val="00812190"/>
    <w:rsid w:val="008351F5"/>
    <w:rsid w:val="00A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1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51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1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51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AA39D753238B15822CB953C407CF3B64CD48B71400A95F0AD9A3E8F39B4C23198C06754897F956NCr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7711</Characters>
  <Application>Microsoft Office Word</Application>
  <DocSecurity>0</DocSecurity>
  <Lines>64</Lines>
  <Paragraphs>18</Paragraphs>
  <ScaleCrop>false</ScaleCrop>
  <Company>*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2024-09-14T07:39:00Z</dcterms:created>
  <dcterms:modified xsi:type="dcterms:W3CDTF">2024-09-16T11:20:00Z</dcterms:modified>
</cp:coreProperties>
</file>