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88" w:rsidRPr="00416C66" w:rsidRDefault="00793447" w:rsidP="001065A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 w:rsidR="00FE4688">
        <w:rPr>
          <w:rFonts w:ascii="Times New Roman" w:hAnsi="Times New Roman" w:cs="Times New Roman"/>
          <w:sz w:val="28"/>
        </w:rPr>
        <w:t xml:space="preserve">                      </w:t>
      </w:r>
    </w:p>
    <w:p w:rsidR="00703383" w:rsidRPr="00703383" w:rsidRDefault="00703383" w:rsidP="00D65194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703383">
        <w:rPr>
          <w:rFonts w:ascii="Times New Roman" w:eastAsia="Times New Roman" w:hAnsi="Times New Roman" w:cs="Times New Roman"/>
          <w:b/>
          <w:caps/>
          <w:smallCaps/>
          <w:noProof/>
          <w:sz w:val="28"/>
          <w:szCs w:val="28"/>
          <w:lang w:eastAsia="ru-RU"/>
        </w:rPr>
        <w:drawing>
          <wp:inline distT="0" distB="0" distL="0" distR="0" wp14:anchorId="76CABAD0" wp14:editId="5A6DB12D">
            <wp:extent cx="40386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383" w:rsidRPr="00703383" w:rsidRDefault="00703383" w:rsidP="0070338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383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Российская Федерация</w:t>
      </w:r>
    </w:p>
    <w:p w:rsidR="00703383" w:rsidRPr="00703383" w:rsidRDefault="00703383" w:rsidP="00703383">
      <w:pPr>
        <w:spacing w:after="0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703383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БРЯНСКАЯ ОБЛАСТЬ</w:t>
      </w:r>
    </w:p>
    <w:p w:rsidR="00703383" w:rsidRPr="00703383" w:rsidRDefault="00703383" w:rsidP="0070338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383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СОВЕТ НАРОДНЫХ ДЕПУТАТОВ СТАРОДУБСКОГО МУНИЦИПАЛЬНОГО ОКРУГА</w:t>
      </w:r>
    </w:p>
    <w:p w:rsidR="00703383" w:rsidRPr="00703383" w:rsidRDefault="00703383" w:rsidP="00703383">
      <w:pPr>
        <w:spacing w:after="0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</w:p>
    <w:p w:rsidR="00703383" w:rsidRPr="00703383" w:rsidRDefault="00703383" w:rsidP="0070338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383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РЕШЕНИЕ</w:t>
      </w:r>
    </w:p>
    <w:p w:rsidR="00703383" w:rsidRPr="00703383" w:rsidRDefault="00703383" w:rsidP="00703383">
      <w:pPr>
        <w:keepNext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383" w:rsidRPr="00703383" w:rsidRDefault="00886855" w:rsidP="00703383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A1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26.06.2024г. </w:t>
      </w:r>
      <w:r w:rsidR="00703383" w:rsidRPr="0070338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A1FD7">
        <w:rPr>
          <w:rFonts w:ascii="Times New Roman" w:eastAsia="Times New Roman" w:hAnsi="Times New Roman" w:cs="Times New Roman"/>
          <w:sz w:val="26"/>
          <w:szCs w:val="26"/>
          <w:lang w:eastAsia="ru-RU"/>
        </w:rPr>
        <w:t>438</w:t>
      </w:r>
      <w:r w:rsidR="00703383" w:rsidRPr="00703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6C51" w:rsidRPr="00935688" w:rsidRDefault="00703383" w:rsidP="00935688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383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Стародуб</w:t>
      </w:r>
    </w:p>
    <w:p w:rsidR="00B812B3" w:rsidRDefault="0046140B" w:rsidP="00B812B3">
      <w:pPr>
        <w:rPr>
          <w:rFonts w:ascii="Times New Roman" w:hAnsi="Times New Roman" w:cs="Times New Roman"/>
          <w:sz w:val="28"/>
          <w:szCs w:val="28"/>
        </w:rPr>
      </w:pPr>
      <w:r w:rsidRPr="0046140B">
        <w:rPr>
          <w:rFonts w:ascii="Times New Roman" w:hAnsi="Times New Roman" w:cs="Times New Roman"/>
          <w:sz w:val="28"/>
          <w:szCs w:val="28"/>
        </w:rPr>
        <w:t>Об утверждении</w:t>
      </w:r>
      <w:r w:rsidR="00B812B3">
        <w:rPr>
          <w:rFonts w:ascii="Times New Roman" w:hAnsi="Times New Roman" w:cs="Times New Roman"/>
          <w:sz w:val="28"/>
          <w:szCs w:val="28"/>
        </w:rPr>
        <w:t xml:space="preserve"> </w:t>
      </w:r>
      <w:r w:rsidR="00B812B3" w:rsidRPr="00B812B3">
        <w:rPr>
          <w:rFonts w:ascii="Times New Roman" w:hAnsi="Times New Roman" w:cs="Times New Roman"/>
          <w:sz w:val="28"/>
          <w:szCs w:val="28"/>
        </w:rPr>
        <w:t xml:space="preserve"> </w:t>
      </w:r>
      <w:r w:rsidR="00381BD7">
        <w:rPr>
          <w:rFonts w:ascii="Times New Roman" w:hAnsi="Times New Roman" w:cs="Times New Roman"/>
          <w:sz w:val="28"/>
          <w:szCs w:val="28"/>
        </w:rPr>
        <w:t>п</w:t>
      </w:r>
      <w:r w:rsidR="00B812B3">
        <w:rPr>
          <w:rFonts w:ascii="Times New Roman" w:hAnsi="Times New Roman" w:cs="Times New Roman"/>
          <w:sz w:val="28"/>
          <w:szCs w:val="28"/>
        </w:rPr>
        <w:t>орядка ведения органами</w:t>
      </w:r>
    </w:p>
    <w:p w:rsidR="00E85FE2" w:rsidRDefault="00B812B3" w:rsidP="00793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  реестра</w:t>
      </w:r>
    </w:p>
    <w:p w:rsidR="00935688" w:rsidRDefault="00B812B3" w:rsidP="00FE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E85FE2">
        <w:rPr>
          <w:rFonts w:ascii="Times New Roman" w:hAnsi="Times New Roman" w:cs="Times New Roman"/>
          <w:sz w:val="28"/>
          <w:szCs w:val="28"/>
        </w:rPr>
        <w:t xml:space="preserve">  имущества</w:t>
      </w:r>
      <w:r w:rsidR="00935688">
        <w:rPr>
          <w:rFonts w:ascii="Times New Roman" w:hAnsi="Times New Roman" w:cs="Times New Roman"/>
          <w:sz w:val="28"/>
          <w:szCs w:val="28"/>
        </w:rPr>
        <w:t xml:space="preserve"> </w:t>
      </w:r>
      <w:r w:rsidR="00E85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688" w:rsidRDefault="00935688" w:rsidP="00FE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(муниципальной  собственности)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688" w:rsidRDefault="00935688" w:rsidP="00FE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35688">
        <w:rPr>
          <w:rFonts w:ascii="Times New Roman" w:hAnsi="Times New Roman" w:cs="Times New Roman"/>
          <w:sz w:val="28"/>
          <w:szCs w:val="28"/>
        </w:rPr>
        <w:t>«Стародубский муниципальный округ»</w:t>
      </w:r>
    </w:p>
    <w:p w:rsidR="00E85FE2" w:rsidRDefault="00D65194" w:rsidP="00C23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47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77D56" w:rsidRPr="00377D56">
        <w:rPr>
          <w:rFonts w:ascii="Times New Roman" w:hAnsi="Times New Roman" w:cs="Times New Roman"/>
          <w:sz w:val="28"/>
          <w:szCs w:val="28"/>
        </w:rPr>
        <w:t xml:space="preserve">В соответствии с п. 5 ч. 1 ст. 15 Федерального закона от 06.10.2003 № 131-ФЗ «Об общих принципах местного самоуправления в Российской Федерации», </w:t>
      </w:r>
      <w:r w:rsidR="00377D56">
        <w:rPr>
          <w:rFonts w:ascii="Times New Roman" w:hAnsi="Times New Roman" w:cs="Times New Roman"/>
          <w:sz w:val="28"/>
          <w:szCs w:val="28"/>
        </w:rPr>
        <w:t>п. 2.4</w:t>
      </w:r>
      <w:r w:rsidR="00416C66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416C66" w:rsidRPr="00416C66">
        <w:rPr>
          <w:rFonts w:ascii="Times New Roman" w:hAnsi="Times New Roman" w:cs="Times New Roman"/>
          <w:sz w:val="28"/>
          <w:szCs w:val="28"/>
        </w:rPr>
        <w:t>«О порядке  владения,  пользования и распоряжения (управления)  имуществом, находящимся в муниципальной  собственности муниципального образования Стародубского муниципального округа Брянской области, утвержденного решением Совета  народных  депутатов Стародубского муниципального округа</w:t>
      </w:r>
      <w:r w:rsidR="00416C66">
        <w:rPr>
          <w:rFonts w:ascii="Times New Roman" w:hAnsi="Times New Roman" w:cs="Times New Roman"/>
          <w:sz w:val="28"/>
          <w:szCs w:val="28"/>
        </w:rPr>
        <w:t xml:space="preserve"> Брянской области от 30.06.2022</w:t>
      </w:r>
      <w:r w:rsidR="00416C66" w:rsidRPr="00416C66">
        <w:rPr>
          <w:rFonts w:ascii="Times New Roman" w:hAnsi="Times New Roman" w:cs="Times New Roman"/>
          <w:sz w:val="28"/>
          <w:szCs w:val="28"/>
        </w:rPr>
        <w:t>г</w:t>
      </w:r>
      <w:r w:rsidR="00416C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№242»</w:t>
      </w:r>
      <w:r w:rsidR="00416C66">
        <w:rPr>
          <w:rFonts w:ascii="Times New Roman" w:hAnsi="Times New Roman" w:cs="Times New Roman"/>
          <w:sz w:val="28"/>
          <w:szCs w:val="28"/>
        </w:rPr>
        <w:t>,</w:t>
      </w:r>
      <w:r w:rsidR="00C36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 Минфина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 от 10.10.2023 №163 «Об утверждении Порядка ведения органами местного самоуправления реестров муниципального имущества», </w:t>
      </w:r>
      <w:r w:rsidR="0046140B">
        <w:rPr>
          <w:rFonts w:ascii="Times New Roman" w:hAnsi="Times New Roman" w:cs="Times New Roman"/>
          <w:sz w:val="28"/>
          <w:szCs w:val="28"/>
        </w:rPr>
        <w:t xml:space="preserve"> </w:t>
      </w:r>
      <w:r w:rsidR="00703383">
        <w:rPr>
          <w:rFonts w:ascii="Times New Roman" w:hAnsi="Times New Roman" w:cs="Times New Roman"/>
          <w:sz w:val="28"/>
          <w:szCs w:val="28"/>
        </w:rPr>
        <w:t xml:space="preserve"> </w:t>
      </w:r>
      <w:r w:rsidR="00DD03D1">
        <w:rPr>
          <w:rFonts w:ascii="Times New Roman" w:hAnsi="Times New Roman" w:cs="Times New Roman"/>
          <w:sz w:val="28"/>
          <w:szCs w:val="28"/>
        </w:rPr>
        <w:t xml:space="preserve">Совет народных </w:t>
      </w:r>
      <w:r w:rsidR="00D66B8E">
        <w:rPr>
          <w:rFonts w:ascii="Times New Roman" w:hAnsi="Times New Roman" w:cs="Times New Roman"/>
          <w:sz w:val="28"/>
          <w:szCs w:val="28"/>
        </w:rPr>
        <w:t xml:space="preserve"> </w:t>
      </w:r>
      <w:r w:rsidR="00DD03D1">
        <w:rPr>
          <w:rFonts w:ascii="Times New Roman" w:hAnsi="Times New Roman" w:cs="Times New Roman"/>
          <w:sz w:val="28"/>
          <w:szCs w:val="28"/>
        </w:rPr>
        <w:t>депутатов</w:t>
      </w:r>
      <w:r w:rsidR="000A77F7">
        <w:rPr>
          <w:rFonts w:ascii="Times New Roman" w:hAnsi="Times New Roman" w:cs="Times New Roman"/>
          <w:sz w:val="28"/>
          <w:szCs w:val="28"/>
        </w:rPr>
        <w:t xml:space="preserve">  </w:t>
      </w:r>
      <w:r w:rsidR="005F4C2A">
        <w:rPr>
          <w:rFonts w:ascii="Times New Roman" w:hAnsi="Times New Roman" w:cs="Times New Roman"/>
          <w:sz w:val="28"/>
          <w:szCs w:val="28"/>
        </w:rPr>
        <w:t xml:space="preserve"> </w:t>
      </w:r>
      <w:r w:rsidR="00970763">
        <w:rPr>
          <w:rFonts w:ascii="Times New Roman" w:hAnsi="Times New Roman" w:cs="Times New Roman"/>
          <w:sz w:val="28"/>
          <w:szCs w:val="28"/>
        </w:rPr>
        <w:t>Стародубского</w:t>
      </w:r>
      <w:r w:rsidR="00D66B8E">
        <w:rPr>
          <w:rFonts w:ascii="Times New Roman" w:hAnsi="Times New Roman" w:cs="Times New Roman"/>
          <w:sz w:val="28"/>
          <w:szCs w:val="28"/>
        </w:rPr>
        <w:t xml:space="preserve"> </w:t>
      </w:r>
      <w:r w:rsidR="00970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FE2" w:rsidRDefault="00970763" w:rsidP="00F52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Брянской</w:t>
      </w:r>
      <w:r w:rsidR="00D66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BC7B2D">
        <w:rPr>
          <w:rFonts w:ascii="Times New Roman" w:hAnsi="Times New Roman" w:cs="Times New Roman"/>
          <w:sz w:val="28"/>
          <w:szCs w:val="28"/>
        </w:rPr>
        <w:t xml:space="preserve"> </w:t>
      </w:r>
      <w:r w:rsidR="00703383">
        <w:rPr>
          <w:rFonts w:ascii="Times New Roman" w:hAnsi="Times New Roman" w:cs="Times New Roman"/>
          <w:sz w:val="28"/>
          <w:szCs w:val="28"/>
        </w:rPr>
        <w:t>решил</w:t>
      </w:r>
      <w:r w:rsidR="00770695" w:rsidRPr="00DD03D1">
        <w:rPr>
          <w:rFonts w:ascii="Times New Roman" w:hAnsi="Times New Roman" w:cs="Times New Roman"/>
          <w:sz w:val="28"/>
          <w:szCs w:val="28"/>
        </w:rPr>
        <w:t>:</w:t>
      </w:r>
    </w:p>
    <w:p w:rsidR="00183A38" w:rsidRDefault="00770695" w:rsidP="00F52A8C">
      <w:pPr>
        <w:jc w:val="both"/>
        <w:rPr>
          <w:rFonts w:ascii="Times New Roman" w:hAnsi="Times New Roman" w:cs="Times New Roman"/>
          <w:sz w:val="28"/>
          <w:szCs w:val="28"/>
        </w:rPr>
      </w:pPr>
      <w:r w:rsidRPr="00DD03D1">
        <w:rPr>
          <w:rFonts w:ascii="Times New Roman" w:hAnsi="Times New Roman" w:cs="Times New Roman"/>
          <w:sz w:val="28"/>
          <w:szCs w:val="28"/>
        </w:rPr>
        <w:t>1. Утвердить</w:t>
      </w:r>
      <w:r w:rsidR="00650954">
        <w:t xml:space="preserve"> </w:t>
      </w:r>
      <w:r w:rsidR="00650954">
        <w:rPr>
          <w:rFonts w:ascii="Times New Roman" w:hAnsi="Times New Roman" w:cs="Times New Roman"/>
          <w:sz w:val="28"/>
          <w:szCs w:val="28"/>
        </w:rPr>
        <w:t>п</w:t>
      </w:r>
      <w:r w:rsidR="00935688">
        <w:rPr>
          <w:rFonts w:ascii="Times New Roman" w:hAnsi="Times New Roman" w:cs="Times New Roman"/>
          <w:sz w:val="28"/>
          <w:szCs w:val="28"/>
        </w:rPr>
        <w:t>орядок</w:t>
      </w:r>
      <w:r w:rsidR="00B812B3" w:rsidRPr="00B812B3">
        <w:rPr>
          <w:rFonts w:ascii="Times New Roman" w:hAnsi="Times New Roman" w:cs="Times New Roman"/>
          <w:sz w:val="28"/>
          <w:szCs w:val="28"/>
        </w:rPr>
        <w:t xml:space="preserve"> ведения органами местного самоуправления рее</w:t>
      </w:r>
      <w:r w:rsidR="00183A38">
        <w:rPr>
          <w:rFonts w:ascii="Times New Roman" w:hAnsi="Times New Roman" w:cs="Times New Roman"/>
          <w:sz w:val="28"/>
          <w:szCs w:val="28"/>
        </w:rPr>
        <w:t>стра муниципального имущества (муниципальной собственности)  муниципального  образования «Стародубский муниципальный округ»</w:t>
      </w:r>
      <w:r w:rsidR="00650954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F00CF6">
        <w:rPr>
          <w:rFonts w:ascii="Times New Roman" w:hAnsi="Times New Roman" w:cs="Times New Roman"/>
          <w:sz w:val="28"/>
          <w:szCs w:val="28"/>
        </w:rPr>
        <w:t xml:space="preserve"> №</w:t>
      </w:r>
      <w:r w:rsidR="00650954">
        <w:rPr>
          <w:rFonts w:ascii="Times New Roman" w:hAnsi="Times New Roman" w:cs="Times New Roman"/>
          <w:sz w:val="28"/>
          <w:szCs w:val="28"/>
        </w:rPr>
        <w:t>1.</w:t>
      </w:r>
    </w:p>
    <w:p w:rsidR="00770695" w:rsidRPr="00DD03D1" w:rsidRDefault="00183A38" w:rsidP="00FE46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4688">
        <w:rPr>
          <w:rFonts w:ascii="Times New Roman" w:hAnsi="Times New Roman" w:cs="Times New Roman"/>
          <w:sz w:val="28"/>
          <w:szCs w:val="28"/>
        </w:rPr>
        <w:t xml:space="preserve"> Решение Совета  народных депутат</w:t>
      </w:r>
      <w:r w:rsidR="00650954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65095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5095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50954">
        <w:rPr>
          <w:rFonts w:ascii="Times New Roman" w:hAnsi="Times New Roman" w:cs="Times New Roman"/>
          <w:sz w:val="28"/>
          <w:szCs w:val="28"/>
        </w:rPr>
        <w:t>тародуба</w:t>
      </w:r>
      <w:proofErr w:type="spellEnd"/>
      <w:r w:rsidR="00650954">
        <w:rPr>
          <w:rFonts w:ascii="Times New Roman" w:hAnsi="Times New Roman" w:cs="Times New Roman"/>
          <w:sz w:val="28"/>
          <w:szCs w:val="28"/>
        </w:rPr>
        <w:t xml:space="preserve"> от 04.08.2020 г.,</w:t>
      </w:r>
      <w:r w:rsidR="00FE4688">
        <w:rPr>
          <w:rFonts w:ascii="Times New Roman" w:hAnsi="Times New Roman" w:cs="Times New Roman"/>
          <w:sz w:val="28"/>
          <w:szCs w:val="28"/>
        </w:rPr>
        <w:t>№ 170 об утверждении Положения</w:t>
      </w:r>
      <w:r w:rsidR="00FE4688" w:rsidRPr="00FE4688">
        <w:t xml:space="preserve"> </w:t>
      </w:r>
      <w:r w:rsidR="00FE4688">
        <w:rPr>
          <w:rFonts w:ascii="Times New Roman" w:hAnsi="Times New Roman" w:cs="Times New Roman"/>
          <w:sz w:val="28"/>
          <w:szCs w:val="28"/>
        </w:rPr>
        <w:t xml:space="preserve">«О порядке </w:t>
      </w:r>
      <w:r w:rsidR="00FE4688" w:rsidRPr="00FE4688">
        <w:rPr>
          <w:rFonts w:ascii="Times New Roman" w:hAnsi="Times New Roman" w:cs="Times New Roman"/>
          <w:sz w:val="28"/>
          <w:szCs w:val="28"/>
        </w:rPr>
        <w:t>ведения реестра муниципального имущества (муниципальной собственности) муниципального образования «Стародубский муниципальный округ»</w:t>
      </w:r>
      <w:r w:rsidR="00FE4688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935688" w:rsidRDefault="00FE4688" w:rsidP="00935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6C51" w:rsidRPr="00C36C51">
        <w:t xml:space="preserve"> </w:t>
      </w:r>
      <w:r w:rsidR="00C36C51" w:rsidRPr="00C36C5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</w:t>
      </w:r>
      <w:r w:rsidR="00935688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935688" w:rsidRPr="00935688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935688">
        <w:rPr>
          <w:rFonts w:ascii="Times New Roman" w:hAnsi="Times New Roman" w:cs="Times New Roman"/>
          <w:sz w:val="28"/>
          <w:szCs w:val="28"/>
        </w:rPr>
        <w:t xml:space="preserve"> и  распространяется  на правоотношения</w:t>
      </w:r>
      <w:r w:rsidR="00F00CF6">
        <w:rPr>
          <w:rFonts w:ascii="Times New Roman" w:hAnsi="Times New Roman" w:cs="Times New Roman"/>
          <w:sz w:val="28"/>
          <w:szCs w:val="28"/>
        </w:rPr>
        <w:t>,</w:t>
      </w:r>
      <w:r w:rsidR="00935688">
        <w:rPr>
          <w:rFonts w:ascii="Times New Roman" w:hAnsi="Times New Roman" w:cs="Times New Roman"/>
          <w:sz w:val="28"/>
          <w:szCs w:val="28"/>
        </w:rPr>
        <w:t xml:space="preserve">  возникшие с 01.01.2024г.</w:t>
      </w:r>
    </w:p>
    <w:p w:rsidR="00AF49E4" w:rsidRDefault="00AF49E4" w:rsidP="00770695">
      <w:pPr>
        <w:rPr>
          <w:rFonts w:ascii="Times New Roman" w:hAnsi="Times New Roman" w:cs="Times New Roman"/>
          <w:sz w:val="28"/>
          <w:szCs w:val="28"/>
        </w:rPr>
      </w:pPr>
    </w:p>
    <w:p w:rsidR="00703383" w:rsidRDefault="00FC291C" w:rsidP="00770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Стародубского </w:t>
      </w:r>
    </w:p>
    <w:p w:rsidR="00E85FE2" w:rsidRPr="00AF49E4" w:rsidRDefault="00703383" w:rsidP="00AF4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91C">
        <w:rPr>
          <w:rFonts w:ascii="Times New Roman" w:hAnsi="Times New Roman" w:cs="Times New Roman"/>
          <w:sz w:val="28"/>
          <w:szCs w:val="28"/>
        </w:rPr>
        <w:t>округа</w:t>
      </w:r>
      <w:r w:rsidR="00770695" w:rsidRPr="005247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85FE2">
        <w:rPr>
          <w:rFonts w:ascii="Times New Roman" w:hAnsi="Times New Roman" w:cs="Times New Roman"/>
          <w:sz w:val="28"/>
          <w:szCs w:val="28"/>
        </w:rPr>
        <w:t xml:space="preserve">        </w:t>
      </w:r>
      <w:r w:rsidR="00770695" w:rsidRPr="005247AE"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 w:rsidR="00770695" w:rsidRPr="005247AE">
        <w:rPr>
          <w:rFonts w:ascii="Times New Roman" w:hAnsi="Times New Roman" w:cs="Times New Roman"/>
          <w:sz w:val="28"/>
          <w:szCs w:val="28"/>
        </w:rPr>
        <w:t>Тамилин</w:t>
      </w:r>
      <w:proofErr w:type="spellEnd"/>
    </w:p>
    <w:p w:rsidR="004B047E" w:rsidRDefault="00F00CF6" w:rsidP="004B047E">
      <w:pPr>
        <w:rPr>
          <w:rFonts w:ascii="Times New Roman" w:hAnsi="Times New Roman" w:cs="Times New Roman"/>
          <w:sz w:val="28"/>
          <w:szCs w:val="28"/>
        </w:rPr>
      </w:pPr>
      <w:r w:rsidRPr="00F00CF6">
        <w:rPr>
          <w:rFonts w:ascii="MS Reference Sans Serif" w:eastAsia="Times New Roman" w:hAnsi="MS Reference Sans Serif" w:cs="Times New Roman"/>
          <w:sz w:val="15"/>
          <w:szCs w:val="15"/>
          <w:lang w:eastAsia="ru-RU"/>
        </w:rPr>
        <w:lastRenderedPageBreak/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4B047E" w:rsidRDefault="004B047E" w:rsidP="004B047E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S Reference Sans Serif" w:eastAsia="Times New Roman" w:hAnsi="MS Reference Sans Serif" w:cs="Times New Roman"/>
          <w:sz w:val="15"/>
          <w:szCs w:val="15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к решению </w:t>
      </w:r>
    </w:p>
    <w:p w:rsidR="004B047E" w:rsidRDefault="004B047E" w:rsidP="004B047E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 порядка ведения органами местного самоуправления  реестра муниципального    имущества  </w:t>
      </w:r>
    </w:p>
    <w:p w:rsidR="004B047E" w:rsidRDefault="004B047E" w:rsidP="004B047E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(муниципальной  собственности) муниципального образования «Стародубский муниципальный округ»</w:t>
      </w:r>
    </w:p>
    <w:p w:rsidR="004B047E" w:rsidRDefault="004B047E" w:rsidP="004B047E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A1FD7">
        <w:rPr>
          <w:rFonts w:ascii="Times New Roman" w:hAnsi="Times New Roman" w:cs="Times New Roman"/>
          <w:sz w:val="28"/>
          <w:szCs w:val="28"/>
        </w:rPr>
        <w:t>438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A1FD7">
        <w:rPr>
          <w:rFonts w:ascii="Times New Roman" w:hAnsi="Times New Roman" w:cs="Times New Roman"/>
          <w:sz w:val="28"/>
          <w:szCs w:val="28"/>
        </w:rPr>
        <w:t>26.06.2024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</w:p>
    <w:p w:rsidR="004B047E" w:rsidRDefault="004B047E" w:rsidP="004B047E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4B047E" w:rsidRDefault="004B047E" w:rsidP="004B04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Порядок ведения органами местного самоуправления реестра муниципального имущества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(муниципальной собственности) муниципального образования «Стародубский муниципальный округ»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правила ведения реестра муниципального имущества (муниципальной собственности) муниципального образования «Стародубский муниципальный округ», 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реестрах информации о муниципальном имуществе.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на основании п. 5 ст. 51 Федерального закона № 131-ФЗ от 06.10.2003 «Об общих принципах организации местного самоуправления в Российской Федерации» и в соответствии с приказом министерства экономического развития РФ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10 октября 2023 г. № 163 «Об утверждении порядка ведения органами местного самоуправления реестров муниципального имущества»,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иными нормативно-правовыми актами органов власти Российской Федерации, Брянской области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Стародубского муниципального округа,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возникающие при управлении и распоряжении муниципальным имуществом.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образований.</w:t>
      </w:r>
      <w:proofErr w:type="gramEnd"/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Включению в реестр муниципального имущества Стародубского муниципального округа подлежит находящееся в собственности Стародубского муниципального округа движимое имущество, стоимость которого составляет 40000 рублей и более. 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Включению в реестр муниципального имущества подлежат принятые к бухгалтерскому учету подарки, полученные лицами, замещающими должности муниципальной службы в органах местного самоуправления Стародубского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округа, лицами, замещающими муниципальные должности в Стародубском муниципальном округе, в связи с их должностным положением или исполнением ими служебных (должностных) обязанностей, стоимость которых превышает 3000 рублей.</w:t>
      </w:r>
      <w:proofErr w:type="gramEnd"/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7" w:anchor="l82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от 21 июля 1993 г. N 5485-1 "О государственной тайне" к государственной тайне, самостоятельно.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Ведение реестра осуществляется уполномоченным органо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по управлению муниципальным имуществом администрации Стародубского муниципального округа (далее Комитет или КУМИ).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обязан: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соблюдение правил ведения реестра и требований, предъявляемых к системе ведения реестра;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соблюдение прав доступа к реестру и защиту государственной и коммерческой тайны;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информационно-справочное обслуживание, выдавать выписки из реестра. 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 выписки из реестра приведен в приложении к настоящему Порядку.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Реестр ведутся на бумажных и (или) электронных носителях.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ведения реестра определяется уполномоченным органом самостоятельно.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Неотъемлемой частью реестра являются: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II. Состав сведений, подлежащих отражению в реестре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Реестр состоит из 3 разделов.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раздел 1 вносятся сведения о недвижимом имуществе.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 1.1 раздела 1 реестра вносятся сведения о земельных участках, в том числе: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земельного участка;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(местоположение) земельного участка с указанием кода Общероссийского </w:t>
      </w:r>
      <w:hyperlink r:id="rId8" w:anchor="l0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классификатора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 муниципальных образований (далее - ОКТМО);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(с датой присвоения);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(месту пребывания) (для физических лиц) (с указанием кода </w:t>
      </w:r>
      <w:hyperlink r:id="rId9" w:anchor="l0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ОКТМО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- сведения о правообладателе);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стоимости земельного участка;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произведенном улучшении земельного участка;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0" w:anchor="l0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ОКТМО</w:t>
        </w:r>
        <w:proofErr w:type="gram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- сведения о лице, в пользу которого установлены ограничения (обременения);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(местоположение) объекта учета (с указанием кода </w:t>
      </w:r>
      <w:hyperlink r:id="rId11" w:anchor="l0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ОКТМО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инвентарный номер объекта учета;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стоимости объекта учета;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сведения (при необходимости).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-местах и иных объектах, отнесенных законом к недвижимости, в том числе: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(местоположение) объекта учета (с указанием кода </w:t>
      </w:r>
      <w:hyperlink r:id="rId12" w:anchor="l0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ОКТМО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инвентарный номер объекта учета;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стоимости объекта учета;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 (место) регистрации и (или) место (аэродром) базирования (с указанием кода </w:t>
      </w:r>
      <w:hyperlink r:id="rId13" w:anchor="l0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ОКТМО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(с датой присвоения);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об основных характеристиках судна, в том числе: год и место постройки судна, 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вида ограничений (обременений), основания и даты их возникновения и прекращения;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2 вносятся сведения о движимом и ином имуществе.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 2.1 раздела 2 реестра вносятся сведения об акциях, в том числе: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4" w:anchor="l0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ОКТМО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5" w:anchor="l0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ОКТМО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движимого имущества (иного имущества);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стоимости;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стоимости доли;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6" w:anchor="l0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ОКТМО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правообладателях;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реестровый номер объектов учета, вещные права на которые ограничены (обременены)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пользу правообладателя;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III. Порядок учета муниципального имущества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засекречивания сведений об учтенном в реестре объекте учета и (или)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реквизитов документов, подтверждающих засекречивание этих сведений.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 не позднее дня, следующего за днем получения обращения об исключении из реестра засекреченных сведений,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Сведения об объекте учета, заявления и документы, указанные в пунктах 15 - 18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должностным лицом правообладателя.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уполномоченным органом в порядке, установленном пунктами 15 - 23 настоящего Порядка.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IV. Предоставление информации из реестра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Сведения об объектах учета, содержащихся в реестре муниципального имущества Стародубского муниципального округа, носят открытый характер и предоставляются любым заинтересованным лицам в виде выписок из реестров.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сведений об объектах учета осуществляется КУМИ на основании письменных запросов в 10-дневный срок со дня поступления запроса.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вправе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пунктом 29 настоящего Порядка.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КУМИ самостоятельно.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Стародубского муниципального округа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прокуратуре Российской Федерации, Председателю Счетной палаты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№1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Порядку ведения реестра  муниципального имущества муниципального образования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Стародубский   муниципальный округ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ВЫПИСКА N ____ ИЗ РЕЕСТРА МУНИЦИПАЛЬНОГО ИМУЩЕСТВА ОБ ОБЪЕКТЕ УЧЕТА МУНИЦИПАЛЬНОГО ИМУЩЕСТВА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"__" ________ 20__ г.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4B047E" w:rsidTr="004B047E">
        <w:trPr>
          <w:jc w:val="center"/>
        </w:trPr>
        <w:tc>
          <w:tcPr>
            <w:tcW w:w="450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47E" w:rsidTr="004B047E">
        <w:trPr>
          <w:jc w:val="center"/>
        </w:trPr>
        <w:tc>
          <w:tcPr>
            <w:tcW w:w="450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</w:tbl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500"/>
      </w:tblGrid>
      <w:tr w:rsidR="004B047E" w:rsidTr="004B047E">
        <w:trPr>
          <w:jc w:val="center"/>
        </w:trPr>
        <w:tc>
          <w:tcPr>
            <w:tcW w:w="150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47E" w:rsidTr="004B047E">
        <w:trPr>
          <w:jc w:val="center"/>
        </w:trPr>
        <w:tc>
          <w:tcPr>
            <w:tcW w:w="150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Сведения об объекте муниципального имущества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</w:tblGrid>
      <w:tr w:rsidR="004B047E" w:rsidTr="004B047E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047E" w:rsidRDefault="004B047E" w:rsidP="004B04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 наименование объекта учета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4B047E" w:rsidTr="004B047E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2125"/>
      </w:tblGrid>
      <w:tr w:rsidR="004B047E" w:rsidTr="004B047E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сведений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сведений</w:t>
            </w:r>
          </w:p>
        </w:tc>
      </w:tr>
      <w:tr w:rsidR="004B047E" w:rsidTr="004B047E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047E" w:rsidTr="004B047E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47E" w:rsidTr="004B047E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47E" w:rsidTr="004B047E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Информация об изменении сведений об объекте учета муниципального имущества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2125"/>
        <w:gridCol w:w="1750"/>
      </w:tblGrid>
      <w:tr w:rsidR="004B047E" w:rsidTr="004B047E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изменения</w:t>
            </w:r>
          </w:p>
        </w:tc>
      </w:tr>
      <w:tr w:rsidR="004B047E" w:rsidTr="004B047E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047E" w:rsidTr="004B047E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47E" w:rsidTr="004B047E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</w:tblGrid>
      <w:tr w:rsidR="004B047E" w:rsidTr="004B047E">
        <w:trPr>
          <w:jc w:val="center"/>
        </w:trPr>
        <w:tc>
          <w:tcPr>
            <w:tcW w:w="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047E" w:rsidRDefault="004B047E" w:rsidP="004B04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ПОДТВЕРЖДЕНИИ СВЕДЕНИЙ, СОДЕРЖАЩИХСЯ В НАСТОЯЩЕЙ ВЫПИСКЕ</w:t>
      </w:r>
    </w:p>
    <w:p w:rsidR="004B047E" w:rsidRDefault="004B047E" w:rsidP="004B047E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3112"/>
        <w:gridCol w:w="242"/>
        <w:gridCol w:w="2079"/>
        <w:gridCol w:w="242"/>
        <w:gridCol w:w="2098"/>
      </w:tblGrid>
      <w:tr w:rsidR="004B047E" w:rsidTr="004B047E">
        <w:trPr>
          <w:jc w:val="center"/>
        </w:trPr>
        <w:tc>
          <w:tcPr>
            <w:tcW w:w="1063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47E" w:rsidTr="004B047E">
        <w:trPr>
          <w:jc w:val="center"/>
        </w:trPr>
        <w:tc>
          <w:tcPr>
            <w:tcW w:w="1063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0" w:type="dxa"/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B047E" w:rsidRDefault="004B04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4B047E" w:rsidRDefault="004B047E" w:rsidP="004B04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 20__ г.</w:t>
      </w:r>
    </w:p>
    <w:p w:rsidR="004B047E" w:rsidRDefault="004B047E" w:rsidP="004B047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C51" w:rsidRDefault="00C36C51" w:rsidP="004B047E">
      <w:pPr>
        <w:spacing w:after="0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3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altName w:val="MS Reference Sans Serif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64EF"/>
    <w:multiLevelType w:val="hybridMultilevel"/>
    <w:tmpl w:val="CF0E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B6"/>
    <w:rsid w:val="00034D85"/>
    <w:rsid w:val="00054186"/>
    <w:rsid w:val="000A77F7"/>
    <w:rsid w:val="000B062E"/>
    <w:rsid w:val="000E728A"/>
    <w:rsid w:val="000F5385"/>
    <w:rsid w:val="001065A6"/>
    <w:rsid w:val="0014200F"/>
    <w:rsid w:val="00147025"/>
    <w:rsid w:val="001708F8"/>
    <w:rsid w:val="00183A38"/>
    <w:rsid w:val="00231A79"/>
    <w:rsid w:val="00247624"/>
    <w:rsid w:val="0026499A"/>
    <w:rsid w:val="002E7B86"/>
    <w:rsid w:val="002F2B32"/>
    <w:rsid w:val="00303421"/>
    <w:rsid w:val="003106EC"/>
    <w:rsid w:val="00361405"/>
    <w:rsid w:val="00377D56"/>
    <w:rsid w:val="00381BD7"/>
    <w:rsid w:val="00384A3D"/>
    <w:rsid w:val="003B13CC"/>
    <w:rsid w:val="003F4B9B"/>
    <w:rsid w:val="00416C66"/>
    <w:rsid w:val="00455A02"/>
    <w:rsid w:val="0046140B"/>
    <w:rsid w:val="004B047E"/>
    <w:rsid w:val="004B7389"/>
    <w:rsid w:val="004D20AE"/>
    <w:rsid w:val="005247AE"/>
    <w:rsid w:val="00566560"/>
    <w:rsid w:val="00597211"/>
    <w:rsid w:val="005F4C2A"/>
    <w:rsid w:val="00650954"/>
    <w:rsid w:val="00703383"/>
    <w:rsid w:val="00715353"/>
    <w:rsid w:val="00770695"/>
    <w:rsid w:val="00793447"/>
    <w:rsid w:val="007C365A"/>
    <w:rsid w:val="00807E3D"/>
    <w:rsid w:val="00886855"/>
    <w:rsid w:val="00935688"/>
    <w:rsid w:val="00970763"/>
    <w:rsid w:val="00AD0902"/>
    <w:rsid w:val="00AF49E4"/>
    <w:rsid w:val="00B049F3"/>
    <w:rsid w:val="00B812B3"/>
    <w:rsid w:val="00BC7B2D"/>
    <w:rsid w:val="00C23BF1"/>
    <w:rsid w:val="00C36C51"/>
    <w:rsid w:val="00D65194"/>
    <w:rsid w:val="00D66B8E"/>
    <w:rsid w:val="00DA1FD7"/>
    <w:rsid w:val="00DD03D1"/>
    <w:rsid w:val="00E059EE"/>
    <w:rsid w:val="00E85FE2"/>
    <w:rsid w:val="00F00CF6"/>
    <w:rsid w:val="00F11893"/>
    <w:rsid w:val="00F52A8C"/>
    <w:rsid w:val="00F949B6"/>
    <w:rsid w:val="00FB5332"/>
    <w:rsid w:val="00FC291C"/>
    <w:rsid w:val="00FE190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89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8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A3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B04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89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8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A3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B04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13" Type="http://schemas.openxmlformats.org/officeDocument/2006/relationships/hyperlink" Target="https://normativ.kontur.ru/document?moduleid=1&amp;documentid=22298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65248" TargetMode="External"/><Relationship Id="rId12" Type="http://schemas.openxmlformats.org/officeDocument/2006/relationships/hyperlink" Target="https://normativ.kontur.ru/document?moduleid=1&amp;documentid=22298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2298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222981" TargetMode="External"/><Relationship Id="rId10" Type="http://schemas.openxmlformats.org/officeDocument/2006/relationships/hyperlink" Target="https://normativ.kontur.ru/document?moduleid=1&amp;documentid=2229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22981" TargetMode="External"/><Relationship Id="rId14" Type="http://schemas.openxmlformats.org/officeDocument/2006/relationships/hyperlink" Target="https://normativ.kontur.ru/document?moduleid=1&amp;documentid=222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4900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16</cp:revision>
  <cp:lastPrinted>2024-06-24T11:52:00Z</cp:lastPrinted>
  <dcterms:created xsi:type="dcterms:W3CDTF">2024-06-19T11:52:00Z</dcterms:created>
  <dcterms:modified xsi:type="dcterms:W3CDTF">2024-06-26T12:39:00Z</dcterms:modified>
</cp:coreProperties>
</file>