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55" w:rsidRPr="0005784D" w:rsidRDefault="00421F55" w:rsidP="00421F55">
      <w:pPr>
        <w:widowControl w:val="0"/>
        <w:spacing w:after="0" w:line="240" w:lineRule="auto"/>
        <w:rPr>
          <w:rFonts w:ascii="Tms Rmn" w:eastAsia="Calibri" w:hAnsi="Tms Rmn"/>
          <w:snapToGrid w:val="0"/>
          <w:sz w:val="20"/>
        </w:rPr>
      </w:pPr>
    </w:p>
    <w:p w:rsidR="00421F55" w:rsidRPr="0005784D" w:rsidRDefault="00421F55" w:rsidP="00421F55">
      <w:pPr>
        <w:widowControl w:val="0"/>
        <w:spacing w:after="0" w:line="240" w:lineRule="auto"/>
        <w:rPr>
          <w:rFonts w:ascii="Tms Rmn" w:eastAsia="Calibri" w:hAnsi="Tms Rmn"/>
          <w:snapToGrid w:val="0"/>
          <w:sz w:val="20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keepNext/>
        <w:widowControl w:val="0"/>
        <w:spacing w:after="0" w:line="240" w:lineRule="auto"/>
        <w:jc w:val="right"/>
        <w:outlineLvl w:val="1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Экз. № _______</w:t>
      </w: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keepNext/>
        <w:widowControl w:val="0"/>
        <w:spacing w:after="0" w:line="360" w:lineRule="auto"/>
        <w:jc w:val="center"/>
        <w:outlineLvl w:val="0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Брянская  область</w:t>
      </w:r>
    </w:p>
    <w:p w:rsidR="00421F55" w:rsidRPr="0005784D" w:rsidRDefault="00421F55" w:rsidP="00421F55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Стародубский муниципальный округ</w:t>
      </w: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/>
          <w:b/>
          <w:snapToGrid w:val="0"/>
          <w:spacing w:val="62"/>
          <w:sz w:val="28"/>
        </w:rPr>
      </w:pPr>
      <w:r w:rsidRPr="0005784D">
        <w:rPr>
          <w:rFonts w:ascii="Tms Rmn" w:eastAsia="Calibri" w:hAnsi="Tms Rmn"/>
          <w:b/>
          <w:snapToGrid w:val="0"/>
          <w:spacing w:val="62"/>
          <w:sz w:val="28"/>
        </w:rPr>
        <w:t xml:space="preserve">СБОРНИК </w:t>
      </w:r>
    </w:p>
    <w:p w:rsidR="00421F55" w:rsidRPr="0005784D" w:rsidRDefault="00421F55" w:rsidP="00421F55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/>
          <w:b/>
          <w:snapToGrid w:val="0"/>
          <w:spacing w:val="62"/>
          <w:sz w:val="28"/>
        </w:rPr>
      </w:pPr>
      <w:r w:rsidRPr="0005784D">
        <w:rPr>
          <w:rFonts w:ascii="Tms Rmn" w:eastAsia="Calibri" w:hAnsi="Tms Rmn"/>
          <w:b/>
          <w:snapToGrid w:val="0"/>
          <w:spacing w:val="62"/>
          <w:sz w:val="28"/>
        </w:rPr>
        <w:t>2024</w:t>
      </w:r>
    </w:p>
    <w:p w:rsidR="00421F55" w:rsidRPr="0005784D" w:rsidRDefault="00421F55" w:rsidP="00421F55">
      <w:pPr>
        <w:widowControl w:val="0"/>
        <w:spacing w:after="0" w:line="360" w:lineRule="auto"/>
        <w:rPr>
          <w:rFonts w:ascii="Tms Rmn" w:eastAsia="Calibri" w:hAnsi="Tms Rmn"/>
          <w:snapToGrid w:val="0"/>
          <w:sz w:val="20"/>
        </w:rPr>
      </w:pPr>
    </w:p>
    <w:p w:rsidR="00421F55" w:rsidRPr="0005784D" w:rsidRDefault="00421F55" w:rsidP="00421F55">
      <w:pPr>
        <w:widowControl w:val="0"/>
        <w:spacing w:after="0" w:line="360" w:lineRule="auto"/>
        <w:jc w:val="center"/>
        <w:rPr>
          <w:rFonts w:ascii="Tms Rmn" w:eastAsia="Calibri" w:hAnsi="Tms Rmn"/>
          <w:b/>
          <w:snapToGrid w:val="0"/>
          <w:sz w:val="28"/>
        </w:rPr>
      </w:pPr>
      <w:r w:rsidRPr="0005784D">
        <w:rPr>
          <w:rFonts w:ascii="Tms Rmn" w:eastAsia="Calibri" w:hAnsi="Tms Rmn"/>
          <w:b/>
          <w:snapToGrid w:val="0"/>
          <w:sz w:val="28"/>
        </w:rPr>
        <w:t>муниципальных правовых актов</w:t>
      </w:r>
    </w:p>
    <w:p w:rsidR="00421F55" w:rsidRPr="0005784D" w:rsidRDefault="00421F55" w:rsidP="00421F55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b/>
          <w:snapToGrid w:val="0"/>
          <w:sz w:val="28"/>
        </w:rPr>
        <w:t>Стародубского муниципального округа Брянской области</w:t>
      </w:r>
    </w:p>
    <w:p w:rsidR="00421F55" w:rsidRPr="0005784D" w:rsidRDefault="00421F55" w:rsidP="00421F55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(данное опубликование является официальным)</w:t>
      </w: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imes New Roman" w:eastAsia="Calibri" w:hAnsi="Times New Roma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 xml:space="preserve">№ </w:t>
      </w:r>
      <w:r>
        <w:rPr>
          <w:rFonts w:ascii="Times New Roman" w:eastAsia="Calibri" w:hAnsi="Times New Roman"/>
          <w:snapToGrid w:val="0"/>
          <w:sz w:val="28"/>
        </w:rPr>
        <w:t>10</w:t>
      </w:r>
      <w:r>
        <w:rPr>
          <w:rFonts w:ascii="Times New Roman" w:eastAsia="Calibri" w:hAnsi="Times New Roman"/>
          <w:snapToGrid w:val="0"/>
          <w:sz w:val="28"/>
        </w:rPr>
        <w:t>2</w:t>
      </w: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b/>
          <w:snapToGrid w:val="0"/>
          <w:sz w:val="28"/>
        </w:rPr>
      </w:pPr>
      <w:r w:rsidRPr="0005784D">
        <w:rPr>
          <w:rFonts w:ascii="Times New Roman" w:eastAsia="Calibri" w:hAnsi="Times New Roman"/>
          <w:snapToGrid w:val="0"/>
          <w:sz w:val="28"/>
        </w:rPr>
        <w:t>(</w:t>
      </w:r>
      <w:r>
        <w:rPr>
          <w:rFonts w:ascii="Times New Roman" w:eastAsia="Calibri" w:hAnsi="Times New Roman"/>
          <w:snapToGrid w:val="0"/>
          <w:sz w:val="28"/>
        </w:rPr>
        <w:t>23 октября</w:t>
      </w:r>
      <w:bookmarkStart w:id="0" w:name="_GoBack"/>
      <w:bookmarkEnd w:id="0"/>
      <w:r>
        <w:rPr>
          <w:rFonts w:ascii="Times New Roman" w:eastAsia="Calibri" w:hAnsi="Times New Roman"/>
          <w:snapToGrid w:val="0"/>
          <w:sz w:val="28"/>
        </w:rPr>
        <w:t xml:space="preserve"> 2024</w:t>
      </w:r>
      <w:r w:rsidRPr="0005784D">
        <w:rPr>
          <w:rFonts w:ascii="Times New Roman" w:eastAsia="Calibri" w:hAnsi="Times New Roman"/>
          <w:snapToGrid w:val="0"/>
          <w:sz w:val="28"/>
        </w:rPr>
        <w:t xml:space="preserve"> года</w:t>
      </w:r>
      <w:r w:rsidRPr="0005784D">
        <w:rPr>
          <w:rFonts w:ascii="Tms Rmn" w:eastAsia="Calibri" w:hAnsi="Tms Rmn"/>
          <w:b/>
          <w:snapToGrid w:val="0"/>
          <w:sz w:val="28"/>
        </w:rPr>
        <w:t>)</w:t>
      </w: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tabs>
          <w:tab w:val="left" w:pos="2840"/>
        </w:tabs>
        <w:spacing w:after="0" w:line="240" w:lineRule="auto"/>
        <w:rPr>
          <w:rFonts w:ascii="Tms Rmn" w:eastAsia="Calibri" w:hAnsi="Tms Rmn"/>
          <w:snapToGrid w:val="0"/>
          <w:sz w:val="28"/>
        </w:rPr>
      </w:pPr>
      <w:proofErr w:type="gramStart"/>
      <w:r w:rsidRPr="0005784D">
        <w:rPr>
          <w:rFonts w:ascii="Tms Rmn" w:eastAsia="Calibri" w:hAnsi="Tms Rmn"/>
          <w:snapToGrid w:val="0"/>
          <w:sz w:val="28"/>
        </w:rPr>
        <w:t>Ответственный за выпуск:</w:t>
      </w:r>
      <w:proofErr w:type="gramEnd"/>
      <w:r w:rsidRPr="0005784D">
        <w:rPr>
          <w:rFonts w:ascii="Tms Rmn" w:eastAsia="Calibri" w:hAnsi="Tms Rmn"/>
          <w:snapToGrid w:val="0"/>
          <w:sz w:val="28"/>
        </w:rPr>
        <w:t xml:space="preserve">    Е. С. </w:t>
      </w:r>
      <w:proofErr w:type="spellStart"/>
      <w:r w:rsidRPr="0005784D">
        <w:rPr>
          <w:rFonts w:ascii="Tms Rmn" w:eastAsia="Calibri" w:hAnsi="Tms Rmn"/>
          <w:snapToGrid w:val="0"/>
          <w:sz w:val="28"/>
        </w:rPr>
        <w:t>Жеребцова</w:t>
      </w:r>
      <w:proofErr w:type="spellEnd"/>
    </w:p>
    <w:p w:rsidR="00421F55" w:rsidRPr="0005784D" w:rsidRDefault="00421F55" w:rsidP="00421F55">
      <w:pPr>
        <w:widowControl w:val="0"/>
        <w:spacing w:after="0" w:line="240" w:lineRule="auto"/>
        <w:jc w:val="both"/>
        <w:rPr>
          <w:rFonts w:ascii="Tms Rmn" w:eastAsia="Calibri" w:hAnsi="Tms Rmn"/>
          <w:snapToGrid w:val="0"/>
          <w:sz w:val="28"/>
        </w:rPr>
      </w:pPr>
    </w:p>
    <w:p w:rsidR="00421F55" w:rsidRPr="0005784D" w:rsidRDefault="00421F55" w:rsidP="00421F55">
      <w:pPr>
        <w:widowControl w:val="0"/>
        <w:spacing w:after="0" w:line="240" w:lineRule="auto"/>
        <w:jc w:val="both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 xml:space="preserve">                                            Тираж:  100 экз.   </w:t>
      </w:r>
    </w:p>
    <w:p w:rsidR="00421F55" w:rsidRPr="0005784D" w:rsidRDefault="00421F55" w:rsidP="00421F55">
      <w:pPr>
        <w:widowControl w:val="0"/>
        <w:spacing w:after="0" w:line="240" w:lineRule="auto"/>
        <w:jc w:val="center"/>
        <w:rPr>
          <w:rFonts w:ascii="Tms Rmn" w:hAnsi="Tms Rmn"/>
          <w:bCs/>
          <w:smallCaps/>
          <w:snapToGrid w:val="0"/>
          <w:sz w:val="10"/>
          <w:szCs w:val="10"/>
        </w:rPr>
      </w:pPr>
    </w:p>
    <w:p w:rsidR="00421F55" w:rsidRPr="0005784D" w:rsidRDefault="00421F55" w:rsidP="00421F55">
      <w:pPr>
        <w:widowControl w:val="0"/>
        <w:spacing w:after="0" w:line="240" w:lineRule="auto"/>
        <w:ind w:left="6237"/>
        <w:rPr>
          <w:rFonts w:ascii="Tms Rmn" w:hAnsi="Tms Rmn"/>
          <w:snapToGrid w:val="0"/>
          <w:sz w:val="10"/>
          <w:szCs w:val="10"/>
        </w:rPr>
      </w:pPr>
      <w:r w:rsidRPr="0005784D">
        <w:rPr>
          <w:rFonts w:ascii="Tms Rmn" w:hAnsi="Tms Rmn"/>
          <w:snapToGrid w:val="0"/>
          <w:sz w:val="10"/>
          <w:szCs w:val="10"/>
        </w:rPr>
        <w:t>.</w:t>
      </w:r>
    </w:p>
    <w:p w:rsidR="00421F55" w:rsidRPr="0005784D" w:rsidRDefault="00421F55" w:rsidP="00421F55">
      <w:pPr>
        <w:widowControl w:val="0"/>
        <w:shd w:val="clear" w:color="auto" w:fill="FFFFFF"/>
        <w:spacing w:after="0" w:line="240" w:lineRule="auto"/>
        <w:ind w:left="5103"/>
        <w:rPr>
          <w:rFonts w:ascii="Tms Rmn" w:hAnsi="Tms Rmn"/>
          <w:snapToGrid w:val="0"/>
          <w:sz w:val="10"/>
          <w:szCs w:val="10"/>
        </w:rPr>
      </w:pPr>
    </w:p>
    <w:p w:rsidR="00421F55" w:rsidRPr="0005784D" w:rsidRDefault="00421F55" w:rsidP="00421F55">
      <w:pPr>
        <w:widowControl w:val="0"/>
        <w:spacing w:after="0" w:line="240" w:lineRule="auto"/>
        <w:rPr>
          <w:rFonts w:ascii="Tms Rmn" w:hAnsi="Tms Rmn"/>
          <w:snapToGrid w:val="0"/>
          <w:sz w:val="16"/>
          <w:szCs w:val="16"/>
        </w:rPr>
      </w:pPr>
    </w:p>
    <w:p w:rsidR="00421F55" w:rsidRDefault="00421F55" w:rsidP="00421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F55" w:rsidRPr="00527E9D" w:rsidRDefault="00421F55" w:rsidP="00421F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21F55" w:rsidRPr="00527E9D" w:rsidRDefault="00421F55" w:rsidP="00421F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27E9D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ИТОГОВЫ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Й ДОКУМЕНТ (РЕКОМЕНДАЦИИ)</w:t>
      </w:r>
      <w:r w:rsidRPr="00527E9D">
        <w:rPr>
          <w:rFonts w:ascii="Times New Roman" w:eastAsia="Times New Roman" w:hAnsi="Times New Roman" w:cs="Times New Roman"/>
          <w:b/>
          <w:sz w:val="24"/>
          <w:szCs w:val="20"/>
        </w:rPr>
        <w:t xml:space="preserve"> ПУБЛИЧНЫХ СЛУШАНИЙ</w:t>
      </w:r>
    </w:p>
    <w:p w:rsidR="00421F55" w:rsidRPr="00527E9D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21F55" w:rsidRPr="001B3984" w:rsidRDefault="00421F55" w:rsidP="00421F55">
      <w:pPr>
        <w:spacing w:after="0" w:line="240" w:lineRule="auto"/>
        <w:ind w:left="-709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8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Pr="001B3984">
        <w:rPr>
          <w:rFonts w:ascii="Times New Roman" w:hAnsi="Times New Roman" w:cs="Times New Roman"/>
          <w:spacing w:val="-5"/>
          <w:sz w:val="28"/>
          <w:szCs w:val="28"/>
        </w:rPr>
        <w:t xml:space="preserve">Совета </w:t>
      </w:r>
      <w:r w:rsidRPr="001B3984">
        <w:rPr>
          <w:rFonts w:ascii="Times New Roman" w:hAnsi="Times New Roman" w:cs="Times New Roman"/>
          <w:sz w:val="28"/>
          <w:szCs w:val="28"/>
        </w:rPr>
        <w:t xml:space="preserve">народных депутатов Стародубского муниципального округа Брянской области № </w:t>
      </w:r>
      <w:r>
        <w:rPr>
          <w:rFonts w:ascii="Times New Roman" w:hAnsi="Times New Roman" w:cs="Times New Roman"/>
          <w:sz w:val="28"/>
          <w:szCs w:val="28"/>
        </w:rPr>
        <w:t xml:space="preserve">464 </w:t>
      </w:r>
      <w:r w:rsidRPr="001B39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01.10.2024</w:t>
      </w:r>
      <w:r w:rsidRPr="001B3984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 публичных слушаний на тему: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</w:r>
    </w:p>
    <w:p w:rsidR="00421F55" w:rsidRPr="001B3984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21F55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г. Стародуб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E3C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23 октября  2024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</w:p>
    <w:p w:rsidR="00421F55" w:rsidRDefault="00421F55" w:rsidP="00421F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>в 10</w:t>
      </w:r>
      <w:r>
        <w:rPr>
          <w:rFonts w:ascii="Times New Roman" w:eastAsia="Times New Roman" w:hAnsi="Times New Roman" w:cs="Times New Roman"/>
          <w:sz w:val="28"/>
          <w:szCs w:val="20"/>
        </w:rPr>
        <w:t>.00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 xml:space="preserve"> часов</w:t>
      </w:r>
    </w:p>
    <w:p w:rsidR="00421F55" w:rsidRPr="001B3984" w:rsidRDefault="00421F55" w:rsidP="00421F55">
      <w:pPr>
        <w:snapToGrid w:val="0"/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:rsidR="00421F55" w:rsidRPr="001B3984" w:rsidRDefault="00421F55" w:rsidP="00421F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B39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2415"/>
        <w:gridCol w:w="1701"/>
        <w:gridCol w:w="2551"/>
        <w:gridCol w:w="709"/>
      </w:tblGrid>
      <w:tr w:rsidR="00421F55" w:rsidRPr="001B3984" w:rsidTr="009E43CE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N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  <w:proofErr w:type="gramStart"/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Вопросы, 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выносимые на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слушания  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Краткое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содержание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внесенного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Кем внесено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Решение,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принятое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участниками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публичных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слушаний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Прим</w:t>
            </w:r>
          </w:p>
        </w:tc>
      </w:tr>
      <w:tr w:rsidR="00421F55" w:rsidRPr="001B3984" w:rsidTr="009E43CE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A3F96" w:rsidRDefault="00421F55" w:rsidP="009E43C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Рассмотрение  </w:t>
            </w:r>
            <w:proofErr w:type="gramStart"/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проекта решения</w:t>
            </w:r>
            <w:r w:rsidRPr="001A3F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Совета 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</w:t>
            </w:r>
            <w:proofErr w:type="gramEnd"/>
            <w:r w:rsidRPr="001A3F96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 w:rsidRPr="001A3F96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55" w:rsidRPr="001A3F96" w:rsidRDefault="00421F55" w:rsidP="009E43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1.Одобрить проект решения </w:t>
            </w:r>
            <w:r w:rsidRPr="001A3F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  <w:p w:rsidR="00421F55" w:rsidRPr="001A3F96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2.Рекомендовать Совету народных депутатов Стародубского муниципального округа Брянской области утвердить предлагаемый проект Решения 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F55" w:rsidRPr="001A3F96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Тамилиным</w:t>
            </w:r>
            <w:proofErr w:type="spellEnd"/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Н.Н.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55" w:rsidRDefault="00421F55" w:rsidP="009E43CE">
            <w:pPr>
              <w:spacing w:after="0"/>
              <w:ind w:left="71" w:firstLine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1.Одобрить проект решения </w:t>
            </w:r>
            <w:r w:rsidRPr="001A3F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  <w:p w:rsidR="00421F55" w:rsidRPr="001A3F96" w:rsidRDefault="00421F55" w:rsidP="009E43CE">
            <w:pPr>
              <w:spacing w:after="0"/>
              <w:ind w:left="71" w:firstLine="2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2.Рекомендовать Совету народных депутатов Стародубского муниципального округа Брянской области  утвердить предлагаемый проект Решения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55" w:rsidRPr="001B3984" w:rsidRDefault="00421F55" w:rsidP="009E43C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21F55" w:rsidRPr="001B3984" w:rsidRDefault="00421F55" w:rsidP="00421F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21F55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21F55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Заместитель председателя Совета</w:t>
      </w:r>
    </w:p>
    <w:p w:rsidR="00421F55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Народных депутатов</w:t>
      </w:r>
    </w:p>
    <w:p w:rsidR="00421F55" w:rsidRPr="00527E9D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Стародубского муниципального округа </w:t>
      </w:r>
      <w:r w:rsidRPr="00527E9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>И. Н. Козин</w:t>
      </w:r>
    </w:p>
    <w:p w:rsidR="00421F55" w:rsidRPr="00527E9D" w:rsidRDefault="00421F55" w:rsidP="00421F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21F55" w:rsidRPr="00527E9D" w:rsidRDefault="00421F55" w:rsidP="00421F55">
      <w:pPr>
        <w:snapToGrid w:val="0"/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  <w:r w:rsidRPr="00527E9D">
        <w:rPr>
          <w:rFonts w:ascii="Times New Roman" w:eastAsia="Times New Roman" w:hAnsi="Times New Roman" w:cs="Times New Roman"/>
          <w:sz w:val="24"/>
          <w:szCs w:val="20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публичных слушаний</w:t>
      </w:r>
      <w:r w:rsidRPr="00527E9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Е. С.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Жеребцова</w:t>
      </w:r>
      <w:proofErr w:type="spellEnd"/>
    </w:p>
    <w:p w:rsidR="00421F55" w:rsidRPr="00527E9D" w:rsidRDefault="00421F55" w:rsidP="00421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1F55" w:rsidRDefault="00421F55" w:rsidP="00421F55"/>
    <w:p w:rsidR="003E3E32" w:rsidRDefault="003E3E32"/>
    <w:sectPr w:rsidR="003E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8E"/>
    <w:rsid w:val="003E3E32"/>
    <w:rsid w:val="00421F55"/>
    <w:rsid w:val="00C5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5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5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>*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2024-10-23T13:31:00Z</dcterms:created>
  <dcterms:modified xsi:type="dcterms:W3CDTF">2024-10-23T13:32:00Z</dcterms:modified>
</cp:coreProperties>
</file>